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lang w:eastAsia="zh-CN"/>
        </w:rPr>
        <w:t>遂宁市医疗保障</w:t>
      </w:r>
      <w:r>
        <w:rPr>
          <w:rFonts w:hint="default" w:ascii="Times New Roman" w:hAnsi="Times New Roman" w:eastAsia="方正小标宋简体" w:cs="Times New Roman"/>
          <w:b w:val="0"/>
          <w:bCs w:val="0"/>
          <w:color w:val="auto"/>
          <w:sz w:val="44"/>
          <w:szCs w:val="44"/>
          <w:highlight w:val="none"/>
        </w:rPr>
        <w:t>行政处罚“五张清单”</w:t>
      </w:r>
    </w:p>
    <w:p>
      <w:pPr>
        <w:rPr>
          <w:rFonts w:hint="default" w:ascii="Times New Roman" w:hAnsi="Times New Roman" w:cs="Times New Roman"/>
          <w:color w:val="auto"/>
          <w:highlight w:val="none"/>
          <w:lang w:val="en-US" w:eastAsia="zh-CN"/>
        </w:rPr>
      </w:pPr>
    </w:p>
    <w:p>
      <w:pPr>
        <w:pStyle w:val="16"/>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auto"/>
          <w:kern w:val="2"/>
          <w:sz w:val="36"/>
          <w:szCs w:val="36"/>
          <w:highlight w:val="none"/>
          <w:lang w:val="en-US" w:eastAsia="zh-CN" w:bidi="ar-SA"/>
        </w:rPr>
      </w:pPr>
      <w:r>
        <w:rPr>
          <w:rFonts w:hint="default" w:ascii="Times New Roman" w:hAnsi="Times New Roman" w:eastAsia="方正小标宋简体" w:cs="Times New Roman"/>
          <w:color w:val="auto"/>
          <w:kern w:val="2"/>
          <w:sz w:val="36"/>
          <w:szCs w:val="36"/>
          <w:highlight w:val="none"/>
          <w:lang w:val="en-US" w:eastAsia="zh-CN" w:bidi="ar-SA"/>
        </w:rPr>
        <w:t>一、不予处罚清单</w:t>
      </w:r>
    </w:p>
    <w:tbl>
      <w:tblPr>
        <w:tblStyle w:val="11"/>
        <w:tblpPr w:leftFromText="180" w:rightFromText="180" w:vertAnchor="text" w:horzAnchor="page" w:tblpXSpec="center" w:tblpY="420"/>
        <w:tblOverlap w:val="never"/>
        <w:tblW w:w="14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75" w:type="dxa"/>
          <w:left w:w="150" w:type="dxa"/>
          <w:bottom w:w="75" w:type="dxa"/>
          <w:right w:w="150" w:type="dxa"/>
        </w:tblCellMar>
      </w:tblPr>
      <w:tblGrid>
        <w:gridCol w:w="747"/>
        <w:gridCol w:w="2584"/>
        <w:gridCol w:w="3748"/>
        <w:gridCol w:w="7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blHeader/>
          <w:jc w:val="center"/>
        </w:trPr>
        <w:tc>
          <w:tcPr>
            <w:tcW w:w="747" w:type="dxa"/>
            <w:noWrap w:val="0"/>
            <w:tcMar>
              <w:top w:w="75" w:type="dxa"/>
              <w:left w:w="75" w:type="dxa"/>
              <w:bottom w:w="75" w:type="dxa"/>
              <w:right w:w="75" w:type="dxa"/>
            </w:tcMar>
            <w:vAlign w:val="center"/>
          </w:tcPr>
          <w:p>
            <w:pPr>
              <w:widowControl/>
              <w:snapToGrid/>
              <w:spacing w:before="0" w:beforeAutospacing="0" w:after="0" w:afterAutospacing="0" w:line="360" w:lineRule="exact"/>
              <w:jc w:val="center"/>
              <w:textAlignment w:val="baseline"/>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pPr>
            <w:r>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t>序号</w:t>
            </w:r>
          </w:p>
        </w:tc>
        <w:tc>
          <w:tcPr>
            <w:tcW w:w="2584" w:type="dxa"/>
            <w:noWrap w:val="0"/>
            <w:tcMar>
              <w:top w:w="75" w:type="dxa"/>
              <w:left w:w="75" w:type="dxa"/>
              <w:bottom w:w="75" w:type="dxa"/>
              <w:right w:w="75" w:type="dxa"/>
            </w:tcMar>
            <w:vAlign w:val="center"/>
          </w:tcPr>
          <w:p>
            <w:pPr>
              <w:widowControl/>
              <w:snapToGrid/>
              <w:spacing w:before="0" w:beforeAutospacing="0" w:after="0" w:afterAutospacing="0" w:line="360" w:lineRule="exact"/>
              <w:jc w:val="center"/>
              <w:textAlignment w:val="baseline"/>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pPr>
            <w:r>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t>违法行为</w:t>
            </w:r>
          </w:p>
        </w:tc>
        <w:tc>
          <w:tcPr>
            <w:tcW w:w="3748" w:type="dxa"/>
            <w:noWrap w:val="0"/>
            <w:tcMar>
              <w:top w:w="75" w:type="dxa"/>
              <w:left w:w="75" w:type="dxa"/>
              <w:bottom w:w="75" w:type="dxa"/>
              <w:right w:w="75" w:type="dxa"/>
            </w:tcMar>
            <w:vAlign w:val="center"/>
          </w:tcPr>
          <w:p>
            <w:pPr>
              <w:widowControl/>
              <w:snapToGrid/>
              <w:spacing w:before="0" w:beforeAutospacing="0" w:after="0" w:afterAutospacing="0" w:line="360" w:lineRule="exact"/>
              <w:jc w:val="center"/>
              <w:textAlignment w:val="baseline"/>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pPr>
            <w:r>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t>不予处罚适用条件</w:t>
            </w:r>
          </w:p>
        </w:tc>
        <w:tc>
          <w:tcPr>
            <w:tcW w:w="7450" w:type="dxa"/>
            <w:noWrap w:val="0"/>
            <w:tcMar>
              <w:top w:w="75" w:type="dxa"/>
              <w:left w:w="75" w:type="dxa"/>
              <w:bottom w:w="75" w:type="dxa"/>
              <w:right w:w="75" w:type="dxa"/>
            </w:tcMar>
            <w:vAlign w:val="center"/>
          </w:tcPr>
          <w:p>
            <w:pPr>
              <w:widowControl/>
              <w:snapToGrid/>
              <w:spacing w:before="0" w:beforeAutospacing="0" w:after="0" w:afterAutospacing="0" w:line="360" w:lineRule="exact"/>
              <w:jc w:val="center"/>
              <w:textAlignment w:val="baseline"/>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pPr>
            <w:r>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t>法律依据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3" w:hRule="atLeast"/>
          <w:tblHeader/>
          <w:jc w:val="center"/>
        </w:trPr>
        <w:tc>
          <w:tcPr>
            <w:tcW w:w="747" w:type="dxa"/>
            <w:noWrap w:val="0"/>
            <w:tcMar>
              <w:top w:w="75" w:type="dxa"/>
              <w:left w:w="75" w:type="dxa"/>
              <w:bottom w:w="75" w:type="dxa"/>
              <w:right w:w="75" w:type="dxa"/>
            </w:tcMar>
            <w:vAlign w:val="center"/>
          </w:tcPr>
          <w:p>
            <w:pPr>
              <w:widowControl/>
              <w:snapToGrid/>
              <w:spacing w:before="0" w:beforeAutospacing="0" w:after="0" w:afterAutospacing="0" w:line="240" w:lineRule="atLeast"/>
              <w:jc w:val="center"/>
              <w:textAlignment w:val="baseline"/>
              <w:rPr>
                <w:rStyle w:val="19"/>
                <w:rFonts w:hint="default" w:ascii="Times New Roman" w:hAnsi="Times New Roman" w:eastAsia="仿宋_GB2312" w:cs="Times New Roman"/>
                <w:b w:val="0"/>
                <w:bCs w:val="0"/>
                <w:i w:val="0"/>
                <w:caps w:val="0"/>
                <w:color w:val="auto"/>
                <w:spacing w:val="0"/>
                <w:w w:val="100"/>
                <w:kern w:val="0"/>
                <w:sz w:val="24"/>
                <w:szCs w:val="24"/>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4"/>
                <w:szCs w:val="24"/>
                <w:highlight w:val="none"/>
                <w:lang w:val="en-US" w:eastAsia="zh-CN" w:bidi="ar-SA"/>
              </w:rPr>
              <w:t>1</w:t>
            </w:r>
          </w:p>
        </w:tc>
        <w:tc>
          <w:tcPr>
            <w:tcW w:w="2584" w:type="dxa"/>
            <w:noWrap w:val="0"/>
            <w:tcMar>
              <w:top w:w="75" w:type="dxa"/>
              <w:left w:w="75" w:type="dxa"/>
              <w:bottom w:w="75" w:type="dxa"/>
              <w:right w:w="75" w:type="dxa"/>
            </w:tcMar>
            <w:vAlign w:val="center"/>
          </w:tcPr>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4"/>
                <w:szCs w:val="24"/>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4"/>
                <w:szCs w:val="24"/>
                <w:highlight w:val="none"/>
                <w:lang w:val="en-US" w:eastAsia="zh-CN" w:bidi="ar-SA"/>
              </w:rPr>
              <w:t>医疗保障经办机构、定点医药机构、个人骗取医疗保障基金</w:t>
            </w:r>
          </w:p>
        </w:tc>
        <w:tc>
          <w:tcPr>
            <w:tcW w:w="3748" w:type="dxa"/>
            <w:noWrap w:val="0"/>
            <w:tcMar>
              <w:top w:w="75" w:type="dxa"/>
              <w:left w:w="75" w:type="dxa"/>
              <w:bottom w:w="75" w:type="dxa"/>
              <w:right w:w="75" w:type="dxa"/>
            </w:tcMar>
            <w:vAlign w:val="center"/>
          </w:tcPr>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4"/>
                <w:szCs w:val="24"/>
                <w:highlight w:val="none"/>
                <w:lang w:val="en" w:eastAsia="zh-CN" w:bidi="ar-SA"/>
              </w:rPr>
            </w:pPr>
            <w:r>
              <w:rPr>
                <w:rStyle w:val="19"/>
                <w:rFonts w:hint="default" w:ascii="Times New Roman" w:hAnsi="Times New Roman" w:eastAsia="仿宋_GB2312" w:cs="Times New Roman"/>
                <w:b w:val="0"/>
                <w:bCs w:val="0"/>
                <w:i w:val="0"/>
                <w:caps w:val="0"/>
                <w:color w:val="auto"/>
                <w:spacing w:val="0"/>
                <w:w w:val="100"/>
                <w:kern w:val="0"/>
                <w:sz w:val="24"/>
                <w:szCs w:val="24"/>
                <w:highlight w:val="none"/>
                <w:lang w:val="en" w:eastAsia="zh-CN" w:bidi="ar-SA"/>
              </w:rPr>
              <w:t>具有下列情形之一：</w:t>
            </w:r>
          </w:p>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4"/>
                <w:szCs w:val="24"/>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4"/>
                <w:szCs w:val="24"/>
                <w:highlight w:val="none"/>
                <w:lang w:val="en" w:eastAsia="zh-CN" w:bidi="ar-SA"/>
              </w:rPr>
              <w:t>1.</w:t>
            </w:r>
            <w:r>
              <w:rPr>
                <w:rStyle w:val="19"/>
                <w:rFonts w:hint="default" w:ascii="Times New Roman" w:hAnsi="Times New Roman" w:eastAsia="仿宋_GB2312" w:cs="Times New Roman"/>
                <w:b w:val="0"/>
                <w:bCs w:val="0"/>
                <w:i w:val="0"/>
                <w:caps w:val="0"/>
                <w:color w:val="auto"/>
                <w:spacing w:val="0"/>
                <w:w w:val="100"/>
                <w:kern w:val="0"/>
                <w:sz w:val="24"/>
                <w:szCs w:val="24"/>
                <w:highlight w:val="none"/>
                <w:lang w:val="en-US" w:eastAsia="zh-CN" w:bidi="ar-SA"/>
              </w:rPr>
              <w:t>未满十四周岁的未成年人实施；</w:t>
            </w:r>
          </w:p>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4"/>
                <w:szCs w:val="24"/>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4"/>
                <w:szCs w:val="24"/>
                <w:highlight w:val="none"/>
                <w:lang w:val="en" w:eastAsia="zh-CN" w:bidi="ar-SA"/>
              </w:rPr>
              <w:t>2.</w:t>
            </w:r>
            <w:r>
              <w:rPr>
                <w:rStyle w:val="19"/>
                <w:rFonts w:hint="default" w:ascii="Times New Roman" w:hAnsi="Times New Roman" w:eastAsia="仿宋_GB2312" w:cs="Times New Roman"/>
                <w:b w:val="0"/>
                <w:bCs w:val="0"/>
                <w:i w:val="0"/>
                <w:caps w:val="0"/>
                <w:color w:val="auto"/>
                <w:spacing w:val="0"/>
                <w:w w:val="100"/>
                <w:kern w:val="0"/>
                <w:sz w:val="24"/>
                <w:szCs w:val="24"/>
                <w:highlight w:val="none"/>
                <w:lang w:val="en-US" w:eastAsia="zh-CN" w:bidi="ar-SA"/>
              </w:rPr>
              <w:t>精神病人、智力残疾人在不能辨认或者控制自己行为时实施；</w:t>
            </w:r>
          </w:p>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4"/>
                <w:szCs w:val="24"/>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4"/>
                <w:szCs w:val="24"/>
                <w:highlight w:val="none"/>
                <w:lang w:val="en" w:eastAsia="zh-CN" w:bidi="ar-SA"/>
              </w:rPr>
              <w:t>3.</w:t>
            </w:r>
            <w:r>
              <w:rPr>
                <w:rStyle w:val="19"/>
                <w:rFonts w:hint="default" w:ascii="Times New Roman" w:hAnsi="Times New Roman" w:eastAsia="仿宋_GB2312" w:cs="Times New Roman"/>
                <w:b w:val="0"/>
                <w:bCs w:val="0"/>
                <w:i w:val="0"/>
                <w:caps w:val="0"/>
                <w:color w:val="auto"/>
                <w:spacing w:val="0"/>
                <w:w w:val="100"/>
                <w:kern w:val="0"/>
                <w:sz w:val="24"/>
                <w:szCs w:val="24"/>
                <w:highlight w:val="none"/>
                <w:lang w:val="en-US" w:eastAsia="zh-CN" w:bidi="ar-SA"/>
              </w:rPr>
              <w:t>情节轻微并及时改正，未造成危害后果；</w:t>
            </w:r>
          </w:p>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4"/>
                <w:szCs w:val="24"/>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4"/>
                <w:szCs w:val="24"/>
                <w:highlight w:val="none"/>
                <w:lang w:val="en" w:eastAsia="zh-CN" w:bidi="ar-SA"/>
              </w:rPr>
              <w:t>4.</w:t>
            </w:r>
            <w:r>
              <w:rPr>
                <w:rStyle w:val="19"/>
                <w:rFonts w:hint="default" w:ascii="Times New Roman" w:hAnsi="Times New Roman" w:eastAsia="仿宋_GB2312" w:cs="Times New Roman"/>
                <w:b w:val="0"/>
                <w:bCs w:val="0"/>
                <w:i w:val="0"/>
                <w:caps w:val="0"/>
                <w:color w:val="auto"/>
                <w:spacing w:val="0"/>
                <w:w w:val="100"/>
                <w:kern w:val="0"/>
                <w:sz w:val="24"/>
                <w:szCs w:val="24"/>
                <w:highlight w:val="none"/>
                <w:lang w:val="en-US" w:eastAsia="zh-CN" w:bidi="ar-SA"/>
              </w:rPr>
              <w:t>初次实施，情节轻微</w:t>
            </w:r>
            <w:r>
              <w:rPr>
                <w:rStyle w:val="19"/>
                <w:rFonts w:hint="default" w:ascii="Times New Roman" w:hAnsi="Times New Roman" w:eastAsia="仿宋_GB2312" w:cs="Times New Roman"/>
                <w:b w:val="0"/>
                <w:bCs w:val="0"/>
                <w:i w:val="0"/>
                <w:caps w:val="0"/>
                <w:color w:val="auto"/>
                <w:spacing w:val="0"/>
                <w:w w:val="100"/>
                <w:kern w:val="0"/>
                <w:sz w:val="24"/>
                <w:szCs w:val="24"/>
                <w:highlight w:val="none"/>
                <w:lang w:val="en" w:eastAsia="zh-CN" w:bidi="ar-SA"/>
              </w:rPr>
              <w:t>,</w:t>
            </w:r>
            <w:r>
              <w:rPr>
                <w:rStyle w:val="19"/>
                <w:rFonts w:hint="default" w:ascii="Times New Roman" w:hAnsi="Times New Roman" w:eastAsia="仿宋_GB2312" w:cs="Times New Roman"/>
                <w:b w:val="0"/>
                <w:bCs w:val="0"/>
                <w:i w:val="0"/>
                <w:caps w:val="0"/>
                <w:color w:val="auto"/>
                <w:spacing w:val="0"/>
                <w:w w:val="100"/>
                <w:kern w:val="0"/>
                <w:sz w:val="24"/>
                <w:szCs w:val="24"/>
                <w:highlight w:val="none"/>
                <w:lang w:val="en-US" w:eastAsia="zh-CN" w:bidi="ar-SA"/>
              </w:rPr>
              <w:t>并及时改正；</w:t>
            </w:r>
          </w:p>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4"/>
                <w:szCs w:val="24"/>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4"/>
                <w:szCs w:val="24"/>
                <w:highlight w:val="none"/>
                <w:lang w:val="en" w:eastAsia="zh-CN" w:bidi="ar-SA"/>
              </w:rPr>
              <w:t>5.</w:t>
            </w:r>
            <w:r>
              <w:rPr>
                <w:rStyle w:val="19"/>
                <w:rFonts w:hint="default" w:ascii="Times New Roman" w:hAnsi="Times New Roman" w:eastAsia="仿宋_GB2312" w:cs="Times New Roman"/>
                <w:b w:val="0"/>
                <w:bCs w:val="0"/>
                <w:i w:val="0"/>
                <w:caps w:val="0"/>
                <w:color w:val="auto"/>
                <w:spacing w:val="0"/>
                <w:w w:val="100"/>
                <w:kern w:val="0"/>
                <w:sz w:val="24"/>
                <w:szCs w:val="24"/>
                <w:highlight w:val="none"/>
                <w:lang w:val="en-US" w:eastAsia="zh-CN" w:bidi="ar-SA"/>
              </w:rPr>
              <w:t>违法行为在二年内未被发现；</w:t>
            </w:r>
          </w:p>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4"/>
                <w:szCs w:val="24"/>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4"/>
                <w:szCs w:val="24"/>
                <w:highlight w:val="none"/>
                <w:lang w:val="en" w:eastAsia="zh-CN" w:bidi="ar-SA"/>
              </w:rPr>
              <w:t>6.</w:t>
            </w:r>
            <w:r>
              <w:rPr>
                <w:rStyle w:val="19"/>
                <w:rFonts w:hint="default" w:ascii="Times New Roman" w:hAnsi="Times New Roman" w:eastAsia="仿宋_GB2312" w:cs="Times New Roman"/>
                <w:b w:val="0"/>
                <w:bCs w:val="0"/>
                <w:i w:val="0"/>
                <w:caps w:val="0"/>
                <w:color w:val="auto"/>
                <w:spacing w:val="0"/>
                <w:w w:val="100"/>
                <w:kern w:val="0"/>
                <w:sz w:val="24"/>
                <w:szCs w:val="24"/>
                <w:highlight w:val="none"/>
                <w:lang w:val="en-US" w:eastAsia="zh-CN" w:bidi="ar-SA"/>
              </w:rPr>
              <w:t>提交</w:t>
            </w:r>
            <w:r>
              <w:rPr>
                <w:rFonts w:hint="default" w:ascii="Times New Roman" w:hAnsi="Times New Roman" w:eastAsia="仿宋_GB2312" w:cs="Times New Roman"/>
                <w:b w:val="0"/>
                <w:bCs w:val="0"/>
                <w:color w:val="auto"/>
                <w:sz w:val="24"/>
                <w:szCs w:val="24"/>
                <w:highlight w:val="none"/>
                <w:lang w:val="en-US" w:eastAsia="zh-CN"/>
              </w:rPr>
              <w:t>了足以证明自己没有主观过错的证据，且法律、行政法规对该适用条件没有其他不同规定。</w:t>
            </w:r>
          </w:p>
        </w:tc>
        <w:tc>
          <w:tcPr>
            <w:tcW w:w="7450" w:type="dxa"/>
            <w:noWrap w:val="0"/>
            <w:tcMar>
              <w:top w:w="75" w:type="dxa"/>
              <w:left w:w="75" w:type="dxa"/>
              <w:bottom w:w="75" w:type="dxa"/>
              <w:right w:w="75" w:type="dxa"/>
            </w:tcMar>
            <w:vAlign w:val="center"/>
          </w:tcPr>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4"/>
                <w:szCs w:val="24"/>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4"/>
                <w:szCs w:val="24"/>
                <w:highlight w:val="none"/>
                <w:lang w:val="en" w:eastAsia="zh-CN" w:bidi="ar-SA"/>
              </w:rPr>
              <w:t>1.</w:t>
            </w:r>
            <w:r>
              <w:rPr>
                <w:rStyle w:val="19"/>
                <w:rFonts w:hint="default" w:ascii="Times New Roman" w:hAnsi="Times New Roman" w:eastAsia="仿宋_GB2312" w:cs="Times New Roman"/>
                <w:b w:val="0"/>
                <w:bCs w:val="0"/>
                <w:i w:val="0"/>
                <w:caps w:val="0"/>
                <w:color w:val="auto"/>
                <w:spacing w:val="0"/>
                <w:w w:val="100"/>
                <w:kern w:val="0"/>
                <w:sz w:val="24"/>
                <w:szCs w:val="24"/>
                <w:highlight w:val="none"/>
                <w:lang w:val="en-US" w:eastAsia="zh-CN" w:bidi="ar-SA"/>
              </w:rPr>
              <w:t>《中华人民共和国行政处罚法》第三十条：不满十四周岁的未成年人有违法行为的，不予行政处罚，责令监护人加以管教。</w:t>
            </w:r>
          </w:p>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4"/>
                <w:szCs w:val="24"/>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4"/>
                <w:szCs w:val="24"/>
                <w:highlight w:val="none"/>
                <w:lang w:val="en" w:eastAsia="zh-CN" w:bidi="ar-SA"/>
              </w:rPr>
              <w:t>2.</w:t>
            </w:r>
            <w:r>
              <w:rPr>
                <w:rStyle w:val="19"/>
                <w:rFonts w:hint="default" w:ascii="Times New Roman" w:hAnsi="Times New Roman" w:eastAsia="仿宋_GB2312" w:cs="Times New Roman"/>
                <w:b w:val="0"/>
                <w:bCs w:val="0"/>
                <w:i w:val="0"/>
                <w:caps w:val="0"/>
                <w:color w:val="auto"/>
                <w:spacing w:val="0"/>
                <w:w w:val="100"/>
                <w:kern w:val="0"/>
                <w:sz w:val="24"/>
                <w:szCs w:val="24"/>
                <w:highlight w:val="none"/>
                <w:lang w:val="en-US" w:eastAsia="zh-CN" w:bidi="ar-SA"/>
              </w:rPr>
              <w:t>《中华人民共和国行政处罚法》第三十一条：精神病人、智力残疾人在不能辨认或者不能控制自己行为时有违法行为的，不予行政处罚，但应当责令其监护人严加看管和治疗。</w:t>
            </w:r>
          </w:p>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4"/>
                <w:szCs w:val="24"/>
                <w:highlight w:val="none"/>
                <w:lang w:val="en" w:eastAsia="zh-CN" w:bidi="ar-SA"/>
              </w:rPr>
            </w:pPr>
            <w:r>
              <w:rPr>
                <w:rStyle w:val="19"/>
                <w:rFonts w:hint="default" w:ascii="Times New Roman" w:hAnsi="Times New Roman" w:eastAsia="仿宋_GB2312" w:cs="Times New Roman"/>
                <w:b w:val="0"/>
                <w:bCs w:val="0"/>
                <w:i w:val="0"/>
                <w:caps w:val="0"/>
                <w:color w:val="auto"/>
                <w:spacing w:val="0"/>
                <w:w w:val="100"/>
                <w:kern w:val="0"/>
                <w:sz w:val="24"/>
                <w:szCs w:val="24"/>
                <w:highlight w:val="none"/>
                <w:lang w:val="en" w:eastAsia="zh-CN" w:bidi="ar-SA"/>
              </w:rPr>
              <w:t>3.</w:t>
            </w:r>
            <w:r>
              <w:rPr>
                <w:rStyle w:val="19"/>
                <w:rFonts w:hint="default" w:ascii="Times New Roman" w:hAnsi="Times New Roman" w:eastAsia="仿宋_GB2312" w:cs="Times New Roman"/>
                <w:b w:val="0"/>
                <w:bCs w:val="0"/>
                <w:i w:val="0"/>
                <w:caps w:val="0"/>
                <w:color w:val="auto"/>
                <w:spacing w:val="0"/>
                <w:w w:val="100"/>
                <w:kern w:val="0"/>
                <w:sz w:val="24"/>
                <w:szCs w:val="24"/>
                <w:highlight w:val="none"/>
                <w:lang w:val="en-US" w:eastAsia="zh-CN" w:bidi="ar-SA"/>
              </w:rPr>
              <w:t>《中华人民共和国行政处罚法》第三十三条第一款：违法行为轻微并及时改正，没有造成危害后果的，不予行政处罚。初次违法且危害后果轻微并及时改正的，可以不予行政处罚。</w:t>
            </w:r>
          </w:p>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4"/>
                <w:szCs w:val="24"/>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4"/>
                <w:szCs w:val="24"/>
                <w:highlight w:val="none"/>
                <w:lang w:val="en" w:eastAsia="zh-CN" w:bidi="ar-SA"/>
              </w:rPr>
              <w:t>4.</w:t>
            </w:r>
            <w:r>
              <w:rPr>
                <w:rStyle w:val="19"/>
                <w:rFonts w:hint="default" w:ascii="Times New Roman" w:hAnsi="Times New Roman" w:eastAsia="仿宋_GB2312" w:cs="Times New Roman"/>
                <w:b w:val="0"/>
                <w:bCs w:val="0"/>
                <w:i w:val="0"/>
                <w:caps w:val="0"/>
                <w:color w:val="auto"/>
                <w:spacing w:val="0"/>
                <w:w w:val="100"/>
                <w:kern w:val="0"/>
                <w:sz w:val="24"/>
                <w:szCs w:val="24"/>
                <w:highlight w:val="none"/>
                <w:lang w:val="en-US" w:eastAsia="zh-CN" w:bidi="ar-SA"/>
              </w:rPr>
              <w:t>《中华人民共和国行政处罚法》第三十六条：违法行为在二年内未被发现的，不再给予行政处罚。涉及公民生命健康安全、金融安全且有危害后果的，上述期限延长至五年。法律另有规定的除外</w:t>
            </w:r>
            <w:r>
              <w:rPr>
                <w:rStyle w:val="19"/>
                <w:rFonts w:hint="eastAsia" w:ascii="Times New Roman" w:hAnsi="Times New Roman" w:eastAsia="仿宋_GB2312" w:cs="Times New Roman"/>
                <w:b w:val="0"/>
                <w:bCs w:val="0"/>
                <w:i w:val="0"/>
                <w:caps w:val="0"/>
                <w:color w:val="auto"/>
                <w:spacing w:val="0"/>
                <w:w w:val="100"/>
                <w:kern w:val="0"/>
                <w:sz w:val="24"/>
                <w:szCs w:val="24"/>
                <w:highlight w:val="none"/>
                <w:lang w:val="en-US" w:eastAsia="zh-CN" w:bidi="ar-SA"/>
              </w:rPr>
              <w:t>。</w:t>
            </w:r>
          </w:p>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4"/>
                <w:szCs w:val="24"/>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4"/>
                <w:szCs w:val="24"/>
                <w:highlight w:val="none"/>
                <w:lang w:val="en" w:eastAsia="zh-CN" w:bidi="ar-SA"/>
              </w:rPr>
              <w:t>5.</w:t>
            </w:r>
            <w:r>
              <w:rPr>
                <w:rStyle w:val="19"/>
                <w:rFonts w:hint="default" w:ascii="Times New Roman" w:hAnsi="Times New Roman" w:eastAsia="仿宋_GB2312" w:cs="Times New Roman"/>
                <w:b w:val="0"/>
                <w:bCs w:val="0"/>
                <w:i w:val="0"/>
                <w:caps w:val="0"/>
                <w:color w:val="auto"/>
                <w:spacing w:val="0"/>
                <w:w w:val="100"/>
                <w:kern w:val="0"/>
                <w:sz w:val="24"/>
                <w:szCs w:val="24"/>
                <w:highlight w:val="none"/>
                <w:lang w:val="en-US" w:eastAsia="zh-CN" w:bidi="ar-SA"/>
              </w:rPr>
              <w:t>《中华人民共和国行政处罚法》第三十三条第二款：当事人有证据足以证明没有主观过错的，不予行政处罚。法律、行政法规另有规定的，从其规定。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95" w:hRule="atLeast"/>
          <w:tblHeader/>
          <w:jc w:val="center"/>
        </w:trPr>
        <w:tc>
          <w:tcPr>
            <w:tcW w:w="747" w:type="dxa"/>
            <w:noWrap w:val="0"/>
            <w:tcMar>
              <w:top w:w="75" w:type="dxa"/>
              <w:left w:w="75" w:type="dxa"/>
              <w:bottom w:w="75" w:type="dxa"/>
              <w:right w:w="75" w:type="dxa"/>
            </w:tcMar>
            <w:vAlign w:val="center"/>
          </w:tcPr>
          <w:p>
            <w:pPr>
              <w:widowControl/>
              <w:snapToGrid/>
              <w:spacing w:before="0" w:beforeAutospacing="0" w:after="0" w:afterAutospacing="0" w:line="240" w:lineRule="atLeast"/>
              <w:jc w:val="center"/>
              <w:textAlignment w:val="baseline"/>
              <w:rPr>
                <w:rFonts w:hint="default" w:ascii="Times New Roman" w:hAnsi="Times New Roman" w:eastAsia="仿宋_GB2312" w:cs="Times New Roman"/>
                <w:b w:val="0"/>
                <w:bCs w:val="0"/>
                <w:i w:val="0"/>
                <w:caps w:val="0"/>
                <w:color w:val="auto"/>
                <w:spacing w:val="0"/>
                <w:w w:val="100"/>
                <w:kern w:val="0"/>
                <w:sz w:val="21"/>
                <w:szCs w:val="21"/>
                <w:highlight w:val="none"/>
                <w:lang w:val="en" w:eastAsia="zh-CN" w:bidi="ar-SA"/>
              </w:rPr>
            </w:pPr>
            <w:r>
              <w:rPr>
                <w:rFonts w:hint="default" w:ascii="Times New Roman" w:hAnsi="Times New Roman" w:eastAsia="仿宋_GB2312" w:cs="Times New Roman"/>
                <w:b w:val="0"/>
                <w:bCs w:val="0"/>
                <w:i w:val="0"/>
                <w:caps w:val="0"/>
                <w:color w:val="auto"/>
                <w:spacing w:val="0"/>
                <w:w w:val="100"/>
                <w:kern w:val="0"/>
                <w:sz w:val="21"/>
                <w:szCs w:val="21"/>
                <w:highlight w:val="none"/>
                <w:lang w:val="en" w:eastAsia="zh-CN" w:bidi="ar-SA"/>
              </w:rPr>
              <w:t>2</w:t>
            </w:r>
          </w:p>
        </w:tc>
        <w:tc>
          <w:tcPr>
            <w:tcW w:w="2584" w:type="dxa"/>
            <w:noWrap w:val="0"/>
            <w:tcMar>
              <w:top w:w="75" w:type="dxa"/>
              <w:left w:w="75" w:type="dxa"/>
              <w:bottom w:w="75" w:type="dxa"/>
              <w:right w:w="75" w:type="dxa"/>
            </w:tcMar>
            <w:vAlign w:val="center"/>
          </w:tcPr>
          <w:p>
            <w:pPr>
              <w:pStyle w:val="2"/>
              <w:numPr>
                <w:ilvl w:val="0"/>
                <w:numId w:val="0"/>
              </w:numP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定点医药机构实施分解住院、挂床住院等违法行为</w:t>
            </w:r>
          </w:p>
        </w:tc>
        <w:tc>
          <w:tcPr>
            <w:tcW w:w="3748" w:type="dxa"/>
            <w:noWrap w:val="0"/>
            <w:tcMar>
              <w:top w:w="75" w:type="dxa"/>
              <w:left w:w="75" w:type="dxa"/>
              <w:bottom w:w="75" w:type="dxa"/>
              <w:right w:w="75" w:type="dxa"/>
            </w:tcMar>
            <w:vAlign w:val="center"/>
          </w:tcPr>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1"/>
                <w:szCs w:val="21"/>
                <w:highlight w:val="none"/>
                <w:lang w:val="en" w:eastAsia="zh-CN" w:bidi="ar-SA"/>
              </w:rPr>
            </w:pPr>
            <w:r>
              <w:rPr>
                <w:rFonts w:hint="default" w:ascii="Times New Roman" w:hAnsi="Times New Roman" w:eastAsia="仿宋_GB2312" w:cs="Times New Roman"/>
                <w:b w:val="0"/>
                <w:bCs w:val="0"/>
                <w:color w:val="auto"/>
                <w:sz w:val="21"/>
                <w:szCs w:val="21"/>
                <w:highlight w:val="none"/>
                <w:lang w:val="en" w:eastAsia="zh-CN"/>
              </w:rPr>
              <w:t>具</w:t>
            </w:r>
            <w:r>
              <w:rPr>
                <w:rStyle w:val="19"/>
                <w:rFonts w:hint="default" w:ascii="Times New Roman" w:hAnsi="Times New Roman" w:eastAsia="仿宋_GB2312" w:cs="Times New Roman"/>
                <w:b w:val="0"/>
                <w:bCs w:val="0"/>
                <w:i w:val="0"/>
                <w:caps w:val="0"/>
                <w:color w:val="auto"/>
                <w:spacing w:val="0"/>
                <w:w w:val="100"/>
                <w:kern w:val="0"/>
                <w:sz w:val="21"/>
                <w:szCs w:val="21"/>
                <w:highlight w:val="none"/>
                <w:lang w:val="en" w:eastAsia="zh-CN" w:bidi="ar-SA"/>
              </w:rPr>
              <w:t>有下列情形之一：</w:t>
            </w:r>
          </w:p>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1"/>
                <w:szCs w:val="21"/>
                <w:highlight w:val="none"/>
                <w:lang w:val="en" w:eastAsia="zh-CN" w:bidi="ar-SA"/>
              </w:rPr>
            </w:pPr>
            <w:r>
              <w:rPr>
                <w:rStyle w:val="19"/>
                <w:rFonts w:hint="default" w:ascii="Times New Roman" w:hAnsi="Times New Roman" w:eastAsia="仿宋_GB2312" w:cs="Times New Roman"/>
                <w:b w:val="0"/>
                <w:bCs w:val="0"/>
                <w:i w:val="0"/>
                <w:caps w:val="0"/>
                <w:color w:val="auto"/>
                <w:spacing w:val="0"/>
                <w:w w:val="100"/>
                <w:kern w:val="0"/>
                <w:sz w:val="21"/>
                <w:szCs w:val="21"/>
                <w:highlight w:val="none"/>
                <w:lang w:val="en" w:eastAsia="zh-CN" w:bidi="ar-SA"/>
              </w:rPr>
              <w:t>1.违法行为未</w:t>
            </w:r>
            <w:r>
              <w:rPr>
                <w:rFonts w:hint="default" w:ascii="Times New Roman" w:hAnsi="Times New Roman" w:eastAsia="仿宋_GB2312" w:cs="Times New Roman"/>
                <w:b w:val="0"/>
                <w:bCs w:val="0"/>
                <w:color w:val="auto"/>
                <w:sz w:val="21"/>
                <w:szCs w:val="21"/>
                <w:highlight w:val="none"/>
                <w:lang w:val="en-US" w:eastAsia="zh-CN"/>
              </w:rPr>
              <w:t>造成医疗保障基金损失</w:t>
            </w:r>
            <w:r>
              <w:rPr>
                <w:rFonts w:hint="eastAsia" w:ascii="Times New Roman" w:hAnsi="Times New Roman" w:eastAsia="仿宋_GB2312" w:cs="Times New Roman"/>
                <w:b w:val="0"/>
                <w:bCs w:val="0"/>
                <w:color w:val="auto"/>
                <w:sz w:val="21"/>
                <w:szCs w:val="21"/>
                <w:highlight w:val="none"/>
                <w:lang w:val="en-US" w:eastAsia="zh-CN"/>
              </w:rPr>
              <w:t>；</w:t>
            </w:r>
          </w:p>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1"/>
                <w:szCs w:val="21"/>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1"/>
                <w:szCs w:val="21"/>
                <w:highlight w:val="none"/>
                <w:lang w:val="en" w:eastAsia="zh-CN" w:bidi="ar-SA"/>
              </w:rPr>
              <w:t>2.</w:t>
            </w:r>
            <w:r>
              <w:rPr>
                <w:rStyle w:val="19"/>
                <w:rFonts w:hint="default" w:ascii="Times New Roman" w:hAnsi="Times New Roman" w:eastAsia="仿宋_GB2312" w:cs="Times New Roman"/>
                <w:b w:val="0"/>
                <w:bCs w:val="0"/>
                <w:i w:val="0"/>
                <w:caps w:val="0"/>
                <w:color w:val="auto"/>
                <w:spacing w:val="0"/>
                <w:w w:val="100"/>
                <w:kern w:val="0"/>
                <w:sz w:val="21"/>
                <w:szCs w:val="21"/>
                <w:highlight w:val="none"/>
                <w:lang w:val="en-US" w:eastAsia="zh-CN" w:bidi="ar-SA"/>
              </w:rPr>
              <w:t>同时符合以下条件：</w:t>
            </w:r>
          </w:p>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1"/>
                <w:szCs w:val="21"/>
                <w:highlight w:val="none"/>
                <w:lang w:val="en" w:eastAsia="zh-CN" w:bidi="ar-SA"/>
              </w:rPr>
            </w:pPr>
            <w:r>
              <w:rPr>
                <w:rStyle w:val="19"/>
                <w:rFonts w:hint="default" w:ascii="Times New Roman" w:hAnsi="Times New Roman" w:eastAsia="仿宋_GB2312" w:cs="Times New Roman"/>
                <w:b w:val="0"/>
                <w:bCs w:val="0"/>
                <w:i w:val="0"/>
                <w:caps w:val="0"/>
                <w:color w:val="auto"/>
                <w:spacing w:val="0"/>
                <w:w w:val="100"/>
                <w:kern w:val="0"/>
                <w:sz w:val="21"/>
                <w:szCs w:val="21"/>
                <w:highlight w:val="none"/>
                <w:lang w:val="en" w:eastAsia="zh-CN" w:bidi="ar-SA"/>
              </w:rPr>
              <w:t>（</w:t>
            </w:r>
            <w:r>
              <w:rPr>
                <w:rStyle w:val="19"/>
                <w:rFonts w:hint="default" w:ascii="Times New Roman" w:hAnsi="Times New Roman" w:eastAsia="仿宋_GB2312" w:cs="Times New Roman"/>
                <w:b w:val="0"/>
                <w:bCs w:val="0"/>
                <w:i w:val="0"/>
                <w:caps w:val="0"/>
                <w:color w:val="auto"/>
                <w:spacing w:val="0"/>
                <w:w w:val="100"/>
                <w:kern w:val="0"/>
                <w:sz w:val="21"/>
                <w:szCs w:val="21"/>
                <w:highlight w:val="none"/>
                <w:lang w:val="en-US" w:eastAsia="zh-CN" w:bidi="ar-SA"/>
              </w:rPr>
              <w:t>1</w:t>
            </w:r>
            <w:r>
              <w:rPr>
                <w:rStyle w:val="19"/>
                <w:rFonts w:hint="default" w:ascii="Times New Roman" w:hAnsi="Times New Roman" w:eastAsia="仿宋_GB2312" w:cs="Times New Roman"/>
                <w:b w:val="0"/>
                <w:bCs w:val="0"/>
                <w:i w:val="0"/>
                <w:caps w:val="0"/>
                <w:color w:val="auto"/>
                <w:spacing w:val="0"/>
                <w:w w:val="100"/>
                <w:kern w:val="0"/>
                <w:sz w:val="21"/>
                <w:szCs w:val="21"/>
                <w:highlight w:val="none"/>
                <w:lang w:val="en" w:eastAsia="zh-CN" w:bidi="ar-SA"/>
              </w:rPr>
              <w:t>）初次实施该性质的违法行为</w:t>
            </w:r>
            <w:r>
              <w:rPr>
                <w:rStyle w:val="19"/>
                <w:rFonts w:hint="eastAsia" w:ascii="Times New Roman" w:hAnsi="Times New Roman" w:eastAsia="仿宋_GB2312" w:cs="Times New Roman"/>
                <w:b w:val="0"/>
                <w:bCs w:val="0"/>
                <w:i w:val="0"/>
                <w:caps w:val="0"/>
                <w:color w:val="auto"/>
                <w:spacing w:val="0"/>
                <w:w w:val="100"/>
                <w:kern w:val="0"/>
                <w:sz w:val="21"/>
                <w:szCs w:val="21"/>
                <w:highlight w:val="none"/>
                <w:lang w:val="en" w:eastAsia="zh-CN" w:bidi="ar-SA"/>
              </w:rPr>
              <w:t>；</w:t>
            </w:r>
          </w:p>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1"/>
                <w:szCs w:val="21"/>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1"/>
                <w:szCs w:val="21"/>
                <w:highlight w:val="none"/>
                <w:lang w:val="en-US" w:eastAsia="zh-CN" w:bidi="ar-SA"/>
              </w:rPr>
              <w:t>（2）行为造成的医疗保障基金损失占上年度相应医保基金支付额0.2%以下</w:t>
            </w:r>
            <w:r>
              <w:rPr>
                <w:rStyle w:val="19"/>
                <w:rFonts w:hint="eastAsia" w:ascii="Times New Roman" w:hAnsi="Times New Roman" w:eastAsia="仿宋_GB2312" w:cs="Times New Roman"/>
                <w:b w:val="0"/>
                <w:bCs w:val="0"/>
                <w:i w:val="0"/>
                <w:caps w:val="0"/>
                <w:color w:val="auto"/>
                <w:spacing w:val="0"/>
                <w:w w:val="100"/>
                <w:kern w:val="0"/>
                <w:sz w:val="21"/>
                <w:szCs w:val="21"/>
                <w:highlight w:val="none"/>
                <w:lang w:val="en-US" w:eastAsia="zh-CN" w:bidi="ar-SA"/>
              </w:rPr>
              <w:t>；</w:t>
            </w:r>
          </w:p>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1"/>
                <w:szCs w:val="21"/>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1"/>
                <w:szCs w:val="21"/>
                <w:highlight w:val="none"/>
                <w:lang w:val="en" w:eastAsia="zh-CN" w:bidi="ar-SA"/>
              </w:rPr>
              <w:t>（</w:t>
            </w:r>
            <w:r>
              <w:rPr>
                <w:rStyle w:val="19"/>
                <w:rFonts w:hint="default" w:ascii="Times New Roman" w:hAnsi="Times New Roman" w:eastAsia="仿宋_GB2312" w:cs="Times New Roman"/>
                <w:b w:val="0"/>
                <w:bCs w:val="0"/>
                <w:i w:val="0"/>
                <w:caps w:val="0"/>
                <w:color w:val="auto"/>
                <w:spacing w:val="0"/>
                <w:w w:val="100"/>
                <w:kern w:val="0"/>
                <w:sz w:val="21"/>
                <w:szCs w:val="21"/>
                <w:highlight w:val="none"/>
                <w:lang w:val="en-US" w:eastAsia="zh-CN" w:bidi="ar-SA"/>
              </w:rPr>
              <w:t>3</w:t>
            </w:r>
            <w:r>
              <w:rPr>
                <w:rStyle w:val="19"/>
                <w:rFonts w:hint="default" w:ascii="Times New Roman" w:hAnsi="Times New Roman" w:eastAsia="仿宋_GB2312" w:cs="Times New Roman"/>
                <w:b w:val="0"/>
                <w:bCs w:val="0"/>
                <w:i w:val="0"/>
                <w:caps w:val="0"/>
                <w:color w:val="auto"/>
                <w:spacing w:val="0"/>
                <w:w w:val="100"/>
                <w:kern w:val="0"/>
                <w:sz w:val="21"/>
                <w:szCs w:val="21"/>
                <w:highlight w:val="none"/>
                <w:lang w:val="en" w:eastAsia="zh-CN" w:bidi="ar-SA"/>
              </w:rPr>
              <w:t>）未造成其他危害后果或造成的</w:t>
            </w:r>
            <w:r>
              <w:rPr>
                <w:rStyle w:val="19"/>
                <w:rFonts w:hint="default" w:ascii="Times New Roman" w:hAnsi="Times New Roman" w:eastAsia="仿宋_GB2312" w:cs="Times New Roman"/>
                <w:b w:val="0"/>
                <w:bCs w:val="0"/>
                <w:i w:val="0"/>
                <w:caps w:val="0"/>
                <w:color w:val="auto"/>
                <w:spacing w:val="0"/>
                <w:w w:val="100"/>
                <w:kern w:val="0"/>
                <w:sz w:val="21"/>
                <w:szCs w:val="21"/>
                <w:highlight w:val="none"/>
                <w:lang w:val="en-US" w:eastAsia="zh-CN" w:bidi="ar-SA"/>
              </w:rPr>
              <w:t>其他危害后果轻微</w:t>
            </w:r>
            <w:r>
              <w:rPr>
                <w:rStyle w:val="19"/>
                <w:rFonts w:hint="eastAsia" w:ascii="Times New Roman" w:hAnsi="Times New Roman" w:eastAsia="仿宋_GB2312" w:cs="Times New Roman"/>
                <w:b w:val="0"/>
                <w:bCs w:val="0"/>
                <w:i w:val="0"/>
                <w:caps w:val="0"/>
                <w:color w:val="auto"/>
                <w:spacing w:val="0"/>
                <w:w w:val="100"/>
                <w:kern w:val="0"/>
                <w:sz w:val="21"/>
                <w:szCs w:val="21"/>
                <w:highlight w:val="none"/>
                <w:lang w:val="en-US" w:eastAsia="zh-CN" w:bidi="ar-SA"/>
              </w:rPr>
              <w:t>；</w:t>
            </w:r>
          </w:p>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1"/>
                <w:szCs w:val="21"/>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1"/>
                <w:szCs w:val="21"/>
                <w:highlight w:val="none"/>
                <w:lang w:val="en-US" w:eastAsia="zh-CN" w:bidi="ar-SA"/>
              </w:rPr>
              <w:t>（4）及时改正违法行为</w:t>
            </w:r>
            <w:r>
              <w:rPr>
                <w:rStyle w:val="19"/>
                <w:rFonts w:hint="eastAsia" w:ascii="Times New Roman" w:hAnsi="Times New Roman" w:eastAsia="仿宋_GB2312" w:cs="Times New Roman"/>
                <w:b w:val="0"/>
                <w:bCs w:val="0"/>
                <w:i w:val="0"/>
                <w:caps w:val="0"/>
                <w:color w:val="auto"/>
                <w:spacing w:val="0"/>
                <w:w w:val="100"/>
                <w:kern w:val="0"/>
                <w:sz w:val="21"/>
                <w:szCs w:val="21"/>
                <w:highlight w:val="none"/>
                <w:lang w:val="en-US" w:eastAsia="zh-CN" w:bidi="ar-SA"/>
              </w:rPr>
              <w:t>；</w:t>
            </w:r>
          </w:p>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1"/>
                <w:szCs w:val="21"/>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1"/>
                <w:szCs w:val="21"/>
                <w:highlight w:val="none"/>
                <w:lang w:val="en" w:eastAsia="zh-CN" w:bidi="ar-SA"/>
              </w:rPr>
              <w:t>3.</w:t>
            </w:r>
            <w:r>
              <w:rPr>
                <w:rStyle w:val="19"/>
                <w:rFonts w:hint="default" w:ascii="Times New Roman" w:hAnsi="Times New Roman" w:eastAsia="仿宋_GB2312" w:cs="Times New Roman"/>
                <w:b w:val="0"/>
                <w:bCs w:val="0"/>
                <w:i w:val="0"/>
                <w:caps w:val="0"/>
                <w:color w:val="auto"/>
                <w:spacing w:val="0"/>
                <w:w w:val="100"/>
                <w:kern w:val="0"/>
                <w:sz w:val="21"/>
                <w:szCs w:val="21"/>
                <w:highlight w:val="none"/>
                <w:lang w:val="en-US" w:eastAsia="zh-CN" w:bidi="ar-SA"/>
              </w:rPr>
              <w:t>违法行为在二年内未被发现</w:t>
            </w:r>
            <w:r>
              <w:rPr>
                <w:rStyle w:val="19"/>
                <w:rFonts w:hint="eastAsia" w:ascii="Times New Roman" w:hAnsi="Times New Roman" w:eastAsia="仿宋_GB2312" w:cs="Times New Roman"/>
                <w:b w:val="0"/>
                <w:bCs w:val="0"/>
                <w:i w:val="0"/>
                <w:caps w:val="0"/>
                <w:color w:val="auto"/>
                <w:spacing w:val="0"/>
                <w:w w:val="100"/>
                <w:kern w:val="0"/>
                <w:sz w:val="21"/>
                <w:szCs w:val="21"/>
                <w:highlight w:val="none"/>
                <w:lang w:val="en-US" w:eastAsia="zh-CN" w:bidi="ar-SA"/>
              </w:rPr>
              <w:t>；</w:t>
            </w:r>
          </w:p>
          <w:p>
            <w:pPr>
              <w:widowControl/>
              <w:numPr>
                <w:ilvl w:val="0"/>
                <w:numId w:val="0"/>
              </w:numPr>
              <w:snapToGrid/>
              <w:spacing w:before="0" w:beforeAutospacing="0" w:after="0" w:afterAutospacing="0" w:line="240" w:lineRule="atLeast"/>
              <w:ind w:leftChars="0"/>
              <w:jc w:val="both"/>
              <w:textAlignment w:val="baseline"/>
              <w:rPr>
                <w:rFonts w:hint="default" w:ascii="Times New Roman" w:hAnsi="Times New Roman" w:eastAsia="仿宋_GB2312" w:cs="Times New Roman"/>
                <w:b w:val="0"/>
                <w:bCs w:val="0"/>
                <w:color w:val="auto"/>
                <w:sz w:val="21"/>
                <w:szCs w:val="21"/>
                <w:highlight w:val="none"/>
                <w:lang w:val="en" w:eastAsia="zh-CN"/>
              </w:rPr>
            </w:pPr>
            <w:r>
              <w:rPr>
                <w:rStyle w:val="19"/>
                <w:rFonts w:hint="default" w:ascii="Times New Roman" w:hAnsi="Times New Roman" w:eastAsia="仿宋_GB2312" w:cs="Times New Roman"/>
                <w:b w:val="0"/>
                <w:bCs w:val="0"/>
                <w:i w:val="0"/>
                <w:caps w:val="0"/>
                <w:color w:val="auto"/>
                <w:spacing w:val="0"/>
                <w:w w:val="100"/>
                <w:kern w:val="0"/>
                <w:sz w:val="21"/>
                <w:szCs w:val="21"/>
                <w:highlight w:val="none"/>
                <w:lang w:val="en" w:eastAsia="zh-CN" w:bidi="ar-SA"/>
              </w:rPr>
              <w:t>4.</w:t>
            </w:r>
            <w:r>
              <w:rPr>
                <w:rStyle w:val="19"/>
                <w:rFonts w:hint="default" w:ascii="Times New Roman" w:hAnsi="Times New Roman" w:eastAsia="仿宋_GB2312" w:cs="Times New Roman"/>
                <w:b w:val="0"/>
                <w:bCs w:val="0"/>
                <w:i w:val="0"/>
                <w:caps w:val="0"/>
                <w:color w:val="auto"/>
                <w:spacing w:val="0"/>
                <w:w w:val="100"/>
                <w:kern w:val="0"/>
                <w:sz w:val="21"/>
                <w:szCs w:val="21"/>
                <w:highlight w:val="none"/>
                <w:lang w:val="en-US" w:eastAsia="zh-CN" w:bidi="ar-SA"/>
              </w:rPr>
              <w:t>提交</w:t>
            </w:r>
            <w:r>
              <w:rPr>
                <w:rFonts w:hint="default" w:ascii="Times New Roman" w:hAnsi="Times New Roman" w:eastAsia="仿宋_GB2312" w:cs="Times New Roman"/>
                <w:b w:val="0"/>
                <w:bCs w:val="0"/>
                <w:color w:val="auto"/>
                <w:sz w:val="21"/>
                <w:szCs w:val="21"/>
                <w:highlight w:val="none"/>
                <w:lang w:val="en-US" w:eastAsia="zh-CN"/>
              </w:rPr>
              <w:t>了足以证明自己没有主观过错的证据，且法律、行政法规对该适用条件没有其他不同规定。</w:t>
            </w:r>
          </w:p>
        </w:tc>
        <w:tc>
          <w:tcPr>
            <w:tcW w:w="7450" w:type="dxa"/>
            <w:noWrap w:val="0"/>
            <w:tcMar>
              <w:top w:w="75" w:type="dxa"/>
              <w:left w:w="75" w:type="dxa"/>
              <w:bottom w:w="75" w:type="dxa"/>
              <w:right w:w="75" w:type="dxa"/>
            </w:tcMar>
            <w:vAlign w:val="center"/>
          </w:tcPr>
          <w:p>
            <w:pPr>
              <w:pStyle w:val="2"/>
              <w:numPr>
                <w:ilvl w:val="0"/>
                <w:numId w:val="0"/>
              </w:numP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 w:eastAsia="zh-CN"/>
              </w:rPr>
              <w:t>1.</w:t>
            </w:r>
            <w:r>
              <w:rPr>
                <w:rFonts w:hint="default" w:ascii="Times New Roman" w:hAnsi="Times New Roman" w:eastAsia="仿宋_GB2312" w:cs="Times New Roman"/>
                <w:b w:val="0"/>
                <w:bCs w:val="0"/>
                <w:color w:val="auto"/>
                <w:sz w:val="21"/>
                <w:szCs w:val="21"/>
                <w:highlight w:val="none"/>
                <w:lang w:val="en-US" w:eastAsia="zh-CN"/>
              </w:rPr>
              <w:t>《中华人民共和国行政处罚法》第三十三条第一款：……初次违法且危害后果轻微并及时改正的，可以不予行政处罚</w:t>
            </w:r>
            <w:r>
              <w:rPr>
                <w:rFonts w:hint="default" w:ascii="Times New Roman" w:hAnsi="Times New Roman" w:cs="Times New Roman"/>
                <w:b w:val="0"/>
                <w:bCs w:val="0"/>
                <w:color w:val="auto"/>
                <w:sz w:val="21"/>
                <w:szCs w:val="21"/>
                <w:highlight w:val="none"/>
                <w:lang w:val="en-US" w:eastAsia="zh-CN"/>
              </w:rPr>
              <w:t>。</w:t>
            </w:r>
          </w:p>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1"/>
                <w:szCs w:val="21"/>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1"/>
                <w:szCs w:val="21"/>
                <w:highlight w:val="none"/>
                <w:lang w:val="en" w:eastAsia="zh-CN" w:bidi="ar-SA"/>
              </w:rPr>
              <w:t>2.</w:t>
            </w:r>
            <w:r>
              <w:rPr>
                <w:rStyle w:val="19"/>
                <w:rFonts w:hint="default" w:ascii="Times New Roman" w:hAnsi="Times New Roman" w:eastAsia="仿宋_GB2312" w:cs="Times New Roman"/>
                <w:b w:val="0"/>
                <w:bCs w:val="0"/>
                <w:i w:val="0"/>
                <w:caps w:val="0"/>
                <w:color w:val="auto"/>
                <w:spacing w:val="0"/>
                <w:w w:val="100"/>
                <w:kern w:val="0"/>
                <w:sz w:val="21"/>
                <w:szCs w:val="21"/>
                <w:highlight w:val="none"/>
                <w:lang w:val="en-US" w:eastAsia="zh-CN" w:bidi="ar-SA"/>
              </w:rPr>
              <w:t>《中华人民共和国行政处罚法》第三十六条：违法行为在二年内未被发现的，不再给予行政处罚。涉及公民生命健康安全、金融安全且有危害后果的，上述期限延长至五年。法律另有规定的除外。</w:t>
            </w:r>
          </w:p>
          <w:p>
            <w:pPr>
              <w:pStyle w:val="2"/>
              <w:numPr>
                <w:ilvl w:val="0"/>
                <w:numId w:val="0"/>
              </w:numPr>
              <w:rPr>
                <w:rStyle w:val="19"/>
                <w:rFonts w:hint="default" w:ascii="Times New Roman" w:hAnsi="Times New Roman" w:eastAsia="仿宋_GB2312" w:cs="Times New Roman"/>
                <w:b w:val="0"/>
                <w:bCs w:val="0"/>
                <w:i w:val="0"/>
                <w:caps w:val="0"/>
                <w:color w:val="auto"/>
                <w:spacing w:val="0"/>
                <w:w w:val="100"/>
                <w:kern w:val="0"/>
                <w:sz w:val="21"/>
                <w:szCs w:val="21"/>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1"/>
                <w:szCs w:val="21"/>
                <w:highlight w:val="none"/>
                <w:lang w:val="en" w:eastAsia="zh-CN" w:bidi="ar-SA"/>
              </w:rPr>
              <w:t>3.</w:t>
            </w:r>
            <w:r>
              <w:rPr>
                <w:rStyle w:val="19"/>
                <w:rFonts w:hint="default" w:ascii="Times New Roman" w:hAnsi="Times New Roman" w:eastAsia="仿宋_GB2312" w:cs="Times New Roman"/>
                <w:b w:val="0"/>
                <w:bCs w:val="0"/>
                <w:i w:val="0"/>
                <w:caps w:val="0"/>
                <w:color w:val="auto"/>
                <w:spacing w:val="0"/>
                <w:w w:val="100"/>
                <w:kern w:val="0"/>
                <w:sz w:val="21"/>
                <w:szCs w:val="21"/>
                <w:highlight w:val="none"/>
                <w:lang w:val="en-US" w:eastAsia="zh-CN" w:bidi="ar-SA"/>
              </w:rPr>
              <w:t>《中华人民共和国行政处罚法》第三十三条第二款：当事人有证据足以证明没有主观过错的，不予行政处罚。法律、行政法规另有规定的，从其规定</w:t>
            </w:r>
            <w:r>
              <w:rPr>
                <w:rStyle w:val="19"/>
                <w:rFonts w:hint="default" w:ascii="Times New Roman" w:hAnsi="Times New Roman" w:cs="Times New Roman"/>
                <w:b w:val="0"/>
                <w:bCs w:val="0"/>
                <w:i w:val="0"/>
                <w:caps w:val="0"/>
                <w:color w:val="auto"/>
                <w:spacing w:val="0"/>
                <w:w w:val="100"/>
                <w:kern w:val="0"/>
                <w:sz w:val="21"/>
                <w:szCs w:val="21"/>
                <w:highlight w:val="none"/>
                <w:lang w:val="en-US" w:eastAsia="zh-CN" w:bidi="ar-SA"/>
              </w:rPr>
              <w:t>。</w:t>
            </w:r>
          </w:p>
          <w:p>
            <w:pPr>
              <w:pStyle w:val="2"/>
              <w:numPr>
                <w:ilvl w:val="0"/>
                <w:numId w:val="0"/>
              </w:numP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 w:eastAsia="zh-CN"/>
              </w:rPr>
              <w:t>4.《医疗保障基金使用监督管理条例》第三十八条：定点医药机构有下列情形之一的，由医疗保障行政部门责令改正</w:t>
            </w:r>
            <w:r>
              <w:rPr>
                <w:rFonts w:hint="default" w:ascii="Times New Roman" w:hAnsi="Times New Roman" w:eastAsia="仿宋_GB2312" w:cs="Times New Roman"/>
                <w:b w:val="0"/>
                <w:bCs w:val="0"/>
                <w:color w:val="auto"/>
                <w:sz w:val="21"/>
                <w:szCs w:val="21"/>
                <w:highlight w:val="none"/>
                <w:lang w:val="en-US" w:eastAsia="zh-CN"/>
              </w:rPr>
              <w:t>…造成医疗保障基金损失的，责令退回，处造成损失金额</w:t>
            </w:r>
            <w:r>
              <w:rPr>
                <w:rFonts w:hint="default" w:ascii="Times New Roman" w:hAnsi="Times New Roman" w:eastAsia="仿宋_GB2312" w:cs="Times New Roman"/>
                <w:b w:val="0"/>
                <w:bCs w:val="0"/>
                <w:color w:val="auto"/>
                <w:sz w:val="21"/>
                <w:szCs w:val="21"/>
                <w:highlight w:val="none"/>
                <w:lang w:val="en" w:eastAsia="zh-CN"/>
              </w:rPr>
              <w:t>1倍以上2倍以下的罚款</w:t>
            </w:r>
            <w:r>
              <w:rPr>
                <w:rFonts w:hint="default" w:ascii="Times New Roman" w:hAnsi="Times New Roman" w:eastAsia="仿宋_GB2312" w:cs="Times New Roman"/>
                <w:b w:val="0"/>
                <w:bCs w:val="0"/>
                <w:color w:val="auto"/>
                <w:sz w:val="21"/>
                <w:szCs w:val="21"/>
                <w:highlight w:val="none"/>
                <w:lang w:val="en-US" w:eastAsia="zh-CN"/>
              </w:rPr>
              <w:t>……：（一）分解住院、挂床住院；（二）违反诊疗规范过度诊疗、过度检查、分解处方、超量开药、重复开药或者提供其他不必要的医药服务；（三）重复收费、超标准收费、分解项目收费；（四）串换药品、医用耗材、诊疗项目和服务设施；（五）为参保人员利用其享受医疗保障待遇的机会转卖药品，接受返还现金、实物或者获得其他非法利益提供便利；（六）将不属于医疗保障基金支付范围的医药费用纳入医疗保障基金结算；</w:t>
            </w:r>
            <w:r>
              <w:rPr>
                <w:rFonts w:hint="default" w:ascii="Times New Roman" w:hAnsi="Times New Roman" w:cs="Times New Roman"/>
                <w:b w:val="0"/>
                <w:bCs w:val="0"/>
                <w:color w:val="auto"/>
                <w:sz w:val="21"/>
                <w:szCs w:val="21"/>
                <w:highlight w:val="none"/>
                <w:lang w:val="en-US" w:eastAsia="zh-CN"/>
              </w:rPr>
              <w:t>（</w:t>
            </w:r>
            <w:r>
              <w:rPr>
                <w:rFonts w:hint="default" w:ascii="Times New Roman" w:hAnsi="Times New Roman" w:eastAsia="仿宋_GB2312" w:cs="Times New Roman"/>
                <w:b w:val="0"/>
                <w:bCs w:val="0"/>
                <w:color w:val="auto"/>
                <w:sz w:val="21"/>
                <w:szCs w:val="21"/>
                <w:highlight w:val="none"/>
                <w:lang w:val="en-US" w:eastAsia="zh-CN"/>
              </w:rPr>
              <w:t>七）造成医疗保障基金损失的其他违法行为</w:t>
            </w:r>
            <w:r>
              <w:rPr>
                <w:rFonts w:hint="default" w:ascii="Times New Roman" w:hAnsi="Times New Roman" w:cs="Times New Roman"/>
                <w:b w:val="0"/>
                <w:bCs w:val="0"/>
                <w:color w:val="auto"/>
                <w:sz w:val="21"/>
                <w:szCs w:val="21"/>
                <w:highlight w:val="none"/>
                <w:lang w:val="en-US" w:eastAsia="zh-CN"/>
              </w:rPr>
              <w:t>。</w:t>
            </w:r>
          </w:p>
          <w:p>
            <w:pPr>
              <w:pStyle w:val="2"/>
              <w:numPr>
                <w:ilvl w:val="0"/>
                <w:numId w:val="0"/>
              </w:numPr>
              <w:rPr>
                <w:rFonts w:hint="default" w:ascii="Times New Roman" w:hAnsi="Times New Roman" w:eastAsia="仿宋_GB2312" w:cs="Times New Roman"/>
                <w:b w:val="0"/>
                <w:bCs w:val="0"/>
                <w:color w:val="auto"/>
                <w:sz w:val="21"/>
                <w:szCs w:val="21"/>
                <w:highlight w:val="none"/>
                <w:lang w:val="en" w:eastAsia="zh-CN"/>
              </w:rPr>
            </w:pPr>
            <w:r>
              <w:rPr>
                <w:rFonts w:hint="default" w:ascii="Times New Roman" w:hAnsi="Times New Roman" w:eastAsia="仿宋_GB2312" w:cs="Times New Roman"/>
                <w:b w:val="0"/>
                <w:bCs w:val="0"/>
                <w:color w:val="auto"/>
                <w:sz w:val="21"/>
                <w:szCs w:val="21"/>
                <w:highlight w:val="none"/>
                <w:lang w:val="en" w:eastAsia="zh-CN"/>
              </w:rPr>
              <w:t>5.</w:t>
            </w:r>
            <w:r>
              <w:rPr>
                <w:rFonts w:hint="default" w:ascii="Times New Roman" w:hAnsi="Times New Roman" w:eastAsia="仿宋_GB2312" w:cs="Times New Roman"/>
                <w:b w:val="0"/>
                <w:bCs w:val="0"/>
                <w:color w:val="auto"/>
                <w:sz w:val="21"/>
                <w:szCs w:val="21"/>
                <w:highlight w:val="none"/>
                <w:lang w:val="en-US" w:eastAsia="zh-CN"/>
              </w:rPr>
              <w:t>四川省医疗保障局《关于印发</w:t>
            </w:r>
            <w:r>
              <w:rPr>
                <w:rFonts w:hint="default" w:ascii="Times New Roman" w:hAnsi="Times New Roman" w:cs="Times New Roman"/>
                <w:b w:val="0"/>
                <w:bCs w:val="0"/>
                <w:color w:val="auto"/>
                <w:sz w:val="21"/>
                <w:szCs w:val="21"/>
                <w:highlight w:val="none"/>
                <w:lang w:val="en" w:eastAsia="zh-CN"/>
              </w:rPr>
              <w:t>〈</w:t>
            </w:r>
            <w:r>
              <w:rPr>
                <w:rFonts w:hint="default" w:ascii="Times New Roman" w:hAnsi="Times New Roman" w:eastAsia="仿宋_GB2312" w:cs="Times New Roman"/>
                <w:b w:val="0"/>
                <w:bCs w:val="0"/>
                <w:color w:val="auto"/>
                <w:sz w:val="21"/>
                <w:szCs w:val="21"/>
                <w:highlight w:val="none"/>
                <w:lang w:val="en-US" w:eastAsia="zh-CN"/>
              </w:rPr>
              <w:t>四川省医疗保障基金监管行政处罚裁量基准</w:t>
            </w:r>
            <w:r>
              <w:rPr>
                <w:rFonts w:hint="default" w:ascii="Times New Roman" w:hAnsi="Times New Roman" w:cs="Times New Roman"/>
                <w:b w:val="0"/>
                <w:bCs w:val="0"/>
                <w:color w:val="auto"/>
                <w:sz w:val="21"/>
                <w:szCs w:val="21"/>
                <w:highlight w:val="none"/>
                <w:lang w:val="en" w:eastAsia="zh-CN"/>
              </w:rPr>
              <w:t>〉</w:t>
            </w:r>
            <w:r>
              <w:rPr>
                <w:rFonts w:hint="default" w:ascii="Times New Roman" w:hAnsi="Times New Roman" w:eastAsia="仿宋_GB2312" w:cs="Times New Roman"/>
                <w:b w:val="0"/>
                <w:bCs w:val="0"/>
                <w:color w:val="auto"/>
                <w:sz w:val="21"/>
                <w:szCs w:val="21"/>
                <w:highlight w:val="none"/>
                <w:lang w:val="en-US" w:eastAsia="zh-CN"/>
              </w:rPr>
              <w:t>的通知》第十七条：违法行为符合《基金监管条例》第三十八条规定情形，系初次违法且未发现以骗取医保基金为目的，造成医保基金损失占上年度相应医保基金支付额0.2%以上0.5%以下并及时改正的，作为从轻情节；未发现以骗取医保基金为目的，造成医保基金损失占上年度相应医保基金支付额1.5%以上的，作为从重情节；并按照以下裁量基准确定罚款数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jc w:val="center"/>
        </w:trPr>
        <w:tc>
          <w:tcPr>
            <w:tcW w:w="747" w:type="dxa"/>
            <w:noWrap w:val="0"/>
            <w:tcMar>
              <w:top w:w="75" w:type="dxa"/>
              <w:left w:w="75" w:type="dxa"/>
              <w:bottom w:w="75" w:type="dxa"/>
              <w:right w:w="75" w:type="dxa"/>
            </w:tcMar>
            <w:vAlign w:val="center"/>
          </w:tcPr>
          <w:p>
            <w:pPr>
              <w:widowControl/>
              <w:snapToGrid/>
              <w:spacing w:before="0" w:beforeAutospacing="0" w:after="0" w:afterAutospacing="0" w:line="240" w:lineRule="atLeast"/>
              <w:jc w:val="center"/>
              <w:textAlignment w:val="baseline"/>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bidi="ar-SA"/>
              </w:rPr>
            </w:pP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bidi="ar-SA"/>
              </w:rPr>
              <w:t>3</w:t>
            </w:r>
          </w:p>
        </w:tc>
        <w:tc>
          <w:tcPr>
            <w:tcW w:w="2584" w:type="dxa"/>
            <w:noWrap w:val="0"/>
            <w:tcMar>
              <w:top w:w="75" w:type="dxa"/>
              <w:left w:w="75" w:type="dxa"/>
              <w:bottom w:w="75" w:type="dxa"/>
              <w:right w:w="75" w:type="dxa"/>
            </w:tcMar>
            <w:vAlign w:val="center"/>
          </w:tcPr>
          <w:p>
            <w:pPr>
              <w:pStyle w:val="2"/>
              <w:numPr>
                <w:ilvl w:val="0"/>
                <w:numId w:val="0"/>
              </w:numPr>
              <w:jc w:val="both"/>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rPr>
            </w:pP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rPr>
              <w:t>定点医药</w:t>
            </w:r>
            <w:r>
              <w:rPr>
                <w:rStyle w:val="19"/>
                <w:rFonts w:hint="eastAsia" w:ascii="Times New Roman" w:hAnsi="Times New Roman" w:cs="Times New Roman"/>
                <w:b w:val="0"/>
                <w:bCs w:val="0"/>
                <w:i w:val="0"/>
                <w:caps w:val="0"/>
                <w:color w:val="auto"/>
                <w:spacing w:val="0"/>
                <w:w w:val="100"/>
                <w:kern w:val="0"/>
                <w:sz w:val="20"/>
                <w:szCs w:val="20"/>
                <w:highlight w:val="none"/>
                <w:lang w:val="en-US" w:eastAsia="zh-CN"/>
              </w:rPr>
              <w:t>机构</w:t>
            </w: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rPr>
              <w:t>存在未建立医疗保障基金使用内部管理制度，或者没有专门机构或者人员负责医疗保障基金使用管理工作等情形</w:t>
            </w:r>
          </w:p>
        </w:tc>
        <w:tc>
          <w:tcPr>
            <w:tcW w:w="3748" w:type="dxa"/>
            <w:noWrap w:val="0"/>
            <w:tcMar>
              <w:top w:w="75" w:type="dxa"/>
              <w:left w:w="75" w:type="dxa"/>
              <w:bottom w:w="75" w:type="dxa"/>
              <w:right w:w="75" w:type="dxa"/>
            </w:tcMar>
            <w:vAlign w:val="center"/>
          </w:tcPr>
          <w:p>
            <w:pPr>
              <w:pStyle w:val="2"/>
              <w:ind w:left="0" w:leftChars="0" w:firstLine="0" w:firstLineChars="0"/>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rPr>
            </w:pP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rPr>
              <w:t>具有下列情形之一：</w:t>
            </w:r>
          </w:p>
          <w:p>
            <w:pPr>
              <w:pStyle w:val="2"/>
              <w:ind w:left="0" w:leftChars="0" w:firstLine="0" w:firstLineChars="0"/>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rPr>
            </w:pP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rPr>
              <w:t>1.</w:t>
            </w: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rPr>
              <w:t>违法行为在二年内未被发现</w:t>
            </w:r>
            <w:r>
              <w:rPr>
                <w:rStyle w:val="19"/>
                <w:rFonts w:hint="eastAsia" w:ascii="Times New Roman" w:hAnsi="Times New Roman" w:cs="Times New Roman"/>
                <w:b w:val="0"/>
                <w:bCs w:val="0"/>
                <w:i w:val="0"/>
                <w:caps w:val="0"/>
                <w:color w:val="auto"/>
                <w:spacing w:val="0"/>
                <w:w w:val="100"/>
                <w:kern w:val="0"/>
                <w:sz w:val="20"/>
                <w:szCs w:val="20"/>
                <w:highlight w:val="none"/>
                <w:lang w:val="en-US" w:eastAsia="zh-CN"/>
              </w:rPr>
              <w:t>；</w:t>
            </w:r>
          </w:p>
          <w:p>
            <w:pPr>
              <w:pStyle w:val="2"/>
              <w:ind w:left="0" w:leftChars="0" w:firstLine="0" w:firstLineChars="0"/>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rPr>
            </w:pP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rPr>
              <w:t>2.</w:t>
            </w: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rPr>
              <w:t>提交了足以证明自己没有主观过错的证据，且法律、行政法规对该适用条件没有其他不同规定</w:t>
            </w:r>
            <w:r>
              <w:rPr>
                <w:rStyle w:val="19"/>
                <w:rFonts w:hint="eastAsia" w:ascii="Times New Roman" w:hAnsi="Times New Roman" w:cs="Times New Roman"/>
                <w:b w:val="0"/>
                <w:bCs w:val="0"/>
                <w:i w:val="0"/>
                <w:caps w:val="0"/>
                <w:color w:val="auto"/>
                <w:spacing w:val="0"/>
                <w:w w:val="100"/>
                <w:kern w:val="0"/>
                <w:sz w:val="20"/>
                <w:szCs w:val="20"/>
                <w:highlight w:val="none"/>
                <w:lang w:val="en-US" w:eastAsia="zh-CN"/>
              </w:rPr>
              <w:t>。</w:t>
            </w:r>
          </w:p>
        </w:tc>
        <w:tc>
          <w:tcPr>
            <w:tcW w:w="7450" w:type="dxa"/>
            <w:noWrap w:val="0"/>
            <w:tcMar>
              <w:top w:w="75" w:type="dxa"/>
              <w:left w:w="75" w:type="dxa"/>
              <w:bottom w:w="75" w:type="dxa"/>
              <w:right w:w="75" w:type="dxa"/>
            </w:tcMar>
            <w:vAlign w:val="center"/>
          </w:tcPr>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bidi="ar-SA"/>
              </w:rPr>
              <w:t>1.</w:t>
            </w: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t>《中华人民共和国行政处罚法》第三十六条：违法行为在二年内未被发现的，不再给予行政处罚。涉及公民生命健康安全、金融安全且有危害后果的，上述期限延长至五年。法律另有规定的除外。</w:t>
            </w:r>
          </w:p>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bidi="ar-SA"/>
              </w:rPr>
              <w:t>2.</w:t>
            </w: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t>《中华人民共和国行政处罚法》第三十三条第二款：当事人有证据足以证明没有主观过错的，不予行政处罚。法律、行政法规另有规定的，从其规定。</w:t>
            </w:r>
          </w:p>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bidi="ar-SA"/>
              </w:rPr>
            </w:pP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bidi="ar-SA"/>
              </w:rPr>
              <w:t>3.《医疗保障基金使用监督管理条例》</w:t>
            </w: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t>第三十九条</w:t>
            </w: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bidi="ar-SA"/>
              </w:rPr>
              <w:t>:</w:t>
            </w: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t>定点医药机构有下列情形之一的，由医疗保障行政部门责令改正，并可以约谈有关负责人；拒不改正的，处1万元以上5万元以下的罚款</w:t>
            </w: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jc w:val="center"/>
        </w:trPr>
        <w:tc>
          <w:tcPr>
            <w:tcW w:w="747" w:type="dxa"/>
            <w:noWrap w:val="0"/>
            <w:tcMar>
              <w:top w:w="75" w:type="dxa"/>
              <w:left w:w="75" w:type="dxa"/>
              <w:bottom w:w="75" w:type="dxa"/>
              <w:right w:w="75" w:type="dxa"/>
            </w:tcMar>
            <w:vAlign w:val="center"/>
          </w:tcPr>
          <w:p>
            <w:pPr>
              <w:widowControl/>
              <w:snapToGrid/>
              <w:spacing w:before="0" w:beforeAutospacing="0" w:after="0" w:afterAutospacing="0" w:line="240" w:lineRule="atLeast"/>
              <w:jc w:val="center"/>
              <w:textAlignment w:val="baseline"/>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bidi="ar-SA"/>
              </w:rPr>
            </w:pP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bidi="ar-SA"/>
              </w:rPr>
              <w:t>4</w:t>
            </w:r>
          </w:p>
        </w:tc>
        <w:tc>
          <w:tcPr>
            <w:tcW w:w="2584" w:type="dxa"/>
            <w:noWrap w:val="0"/>
            <w:tcMar>
              <w:top w:w="75" w:type="dxa"/>
              <w:left w:w="75" w:type="dxa"/>
              <w:bottom w:w="75" w:type="dxa"/>
              <w:right w:w="75" w:type="dxa"/>
            </w:tcMar>
            <w:vAlign w:val="center"/>
          </w:tcPr>
          <w:p>
            <w:pPr>
              <w:pStyle w:val="2"/>
              <w:numPr>
                <w:ilvl w:val="0"/>
                <w:numId w:val="0"/>
              </w:numPr>
              <w:rPr>
                <w:rFonts w:hint="default" w:ascii="Times New Roman" w:hAnsi="Times New Roman" w:eastAsia="仿宋_GB2312" w:cs="Times New Roman"/>
                <w:b w:val="0"/>
                <w:bCs w:val="0"/>
                <w:color w:val="auto"/>
                <w:sz w:val="20"/>
                <w:szCs w:val="20"/>
                <w:highlight w:val="none"/>
                <w:lang w:val="en-US" w:eastAsia="zh-CN"/>
              </w:rPr>
            </w:pPr>
            <w:r>
              <w:rPr>
                <w:rFonts w:hint="default" w:ascii="Times New Roman" w:hAnsi="Times New Roman" w:eastAsia="仿宋_GB2312" w:cs="Times New Roman"/>
                <w:b w:val="0"/>
                <w:bCs w:val="0"/>
                <w:color w:val="auto"/>
                <w:sz w:val="20"/>
                <w:szCs w:val="20"/>
                <w:highlight w:val="none"/>
                <w:lang w:val="en-US" w:eastAsia="zh-CN"/>
              </w:rPr>
              <w:t>参加药品采购投标的投标人实施以低于成本的报价竞标，或者以欺诈、串通投标、滥用市场支配地位等方式竞标的行为</w:t>
            </w:r>
          </w:p>
        </w:tc>
        <w:tc>
          <w:tcPr>
            <w:tcW w:w="3748" w:type="dxa"/>
            <w:noWrap w:val="0"/>
            <w:tcMar>
              <w:top w:w="75" w:type="dxa"/>
              <w:left w:w="75" w:type="dxa"/>
              <w:bottom w:w="75" w:type="dxa"/>
              <w:right w:w="75" w:type="dxa"/>
            </w:tcMar>
            <w:vAlign w:val="center"/>
          </w:tcPr>
          <w:p>
            <w:pPr>
              <w:pStyle w:val="2"/>
              <w:numPr>
                <w:ilvl w:val="0"/>
                <w:numId w:val="0"/>
              </w:numPr>
              <w:rPr>
                <w:rFonts w:hint="default" w:ascii="Times New Roman" w:hAnsi="Times New Roman" w:eastAsia="仿宋_GB2312" w:cs="Times New Roman"/>
                <w:b w:val="0"/>
                <w:bCs w:val="0"/>
                <w:color w:val="auto"/>
                <w:sz w:val="20"/>
                <w:szCs w:val="20"/>
                <w:highlight w:val="none"/>
                <w:lang w:val="en" w:eastAsia="zh-CN"/>
              </w:rPr>
            </w:pPr>
            <w:r>
              <w:rPr>
                <w:rFonts w:hint="default" w:ascii="Times New Roman" w:hAnsi="Times New Roman" w:eastAsia="仿宋_GB2312" w:cs="Times New Roman"/>
                <w:b w:val="0"/>
                <w:bCs w:val="0"/>
                <w:color w:val="auto"/>
                <w:sz w:val="20"/>
                <w:szCs w:val="20"/>
                <w:highlight w:val="none"/>
                <w:lang w:val="en" w:eastAsia="zh-CN"/>
              </w:rPr>
              <w:t>具有下列情形之一：</w:t>
            </w:r>
          </w:p>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lang w:val="en" w:eastAsia="zh-CN"/>
              </w:rPr>
              <w:t>1.</w:t>
            </w: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t>情节轻微并及时改正，未造成危害后果</w:t>
            </w:r>
            <w:r>
              <w:rPr>
                <w:rStyle w:val="19"/>
                <w:rFonts w:hint="eastAsia" w:ascii="Times New Roman" w:hAnsi="Times New Roman" w:eastAsia="仿宋_GB2312" w:cs="Times New Roman"/>
                <w:b w:val="0"/>
                <w:bCs w:val="0"/>
                <w:i w:val="0"/>
                <w:caps w:val="0"/>
                <w:color w:val="auto"/>
                <w:spacing w:val="0"/>
                <w:w w:val="100"/>
                <w:kern w:val="0"/>
                <w:sz w:val="20"/>
                <w:szCs w:val="20"/>
                <w:highlight w:val="none"/>
                <w:lang w:val="en-US" w:eastAsia="zh-CN" w:bidi="ar-SA"/>
              </w:rPr>
              <w:t>；</w:t>
            </w:r>
          </w:p>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bidi="ar-SA"/>
              </w:rPr>
              <w:t>2.</w:t>
            </w: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t>初次实施，情节轻微并及时改正</w:t>
            </w:r>
            <w:r>
              <w:rPr>
                <w:rStyle w:val="19"/>
                <w:rFonts w:hint="eastAsia" w:ascii="Times New Roman" w:hAnsi="Times New Roman" w:eastAsia="仿宋_GB2312" w:cs="Times New Roman"/>
                <w:b w:val="0"/>
                <w:bCs w:val="0"/>
                <w:i w:val="0"/>
                <w:caps w:val="0"/>
                <w:color w:val="auto"/>
                <w:spacing w:val="0"/>
                <w:w w:val="100"/>
                <w:kern w:val="0"/>
                <w:sz w:val="20"/>
                <w:szCs w:val="20"/>
                <w:highlight w:val="none"/>
                <w:lang w:val="en-US" w:eastAsia="zh-CN" w:bidi="ar-SA"/>
              </w:rPr>
              <w:t>；</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bidi="ar-SA"/>
              </w:rPr>
              <w:t>3.</w:t>
            </w: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t>违法行为在二年内未被发现</w:t>
            </w:r>
            <w:r>
              <w:rPr>
                <w:rStyle w:val="19"/>
                <w:rFonts w:hint="eastAsia" w:ascii="Times New Roman" w:hAnsi="Times New Roman" w:eastAsia="仿宋_GB2312" w:cs="Times New Roman"/>
                <w:b w:val="0"/>
                <w:bCs w:val="0"/>
                <w:i w:val="0"/>
                <w:caps w:val="0"/>
                <w:color w:val="auto"/>
                <w:spacing w:val="0"/>
                <w:w w:val="100"/>
                <w:kern w:val="0"/>
                <w:sz w:val="20"/>
                <w:szCs w:val="20"/>
                <w:highlight w:val="none"/>
                <w:lang w:val="en-US" w:eastAsia="zh-CN" w:bidi="ar-SA"/>
              </w:rPr>
              <w:t>；</w:t>
            </w:r>
          </w:p>
          <w:p>
            <w:pPr>
              <w:pStyle w:val="2"/>
              <w:numPr>
                <w:ilvl w:val="0"/>
                <w:numId w:val="0"/>
              </w:numPr>
              <w:rPr>
                <w:rFonts w:hint="default" w:ascii="Times New Roman" w:hAnsi="Times New Roman" w:eastAsia="仿宋_GB2312" w:cs="Times New Roman"/>
                <w:b w:val="0"/>
                <w:bCs w:val="0"/>
                <w:color w:val="auto"/>
                <w:sz w:val="20"/>
                <w:szCs w:val="20"/>
                <w:highlight w:val="none"/>
                <w:lang w:val="en-US" w:eastAsia="zh-CN"/>
              </w:rPr>
            </w:pP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bidi="ar-SA"/>
              </w:rPr>
              <w:t>4.</w:t>
            </w: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t>提交了足以证明自己没有主观过错的证据，且法律、行政法规对该适用条件没有其他不同规定</w:t>
            </w:r>
            <w:r>
              <w:rPr>
                <w:rStyle w:val="19"/>
                <w:rFonts w:hint="eastAsia" w:ascii="Times New Roman" w:hAnsi="Times New Roman" w:cs="Times New Roman"/>
                <w:b w:val="0"/>
                <w:bCs w:val="0"/>
                <w:i w:val="0"/>
                <w:caps w:val="0"/>
                <w:color w:val="auto"/>
                <w:spacing w:val="0"/>
                <w:w w:val="100"/>
                <w:kern w:val="0"/>
                <w:sz w:val="20"/>
                <w:szCs w:val="20"/>
                <w:highlight w:val="none"/>
                <w:lang w:val="en-US" w:eastAsia="zh-CN" w:bidi="ar-SA"/>
              </w:rPr>
              <w:t>。</w:t>
            </w:r>
          </w:p>
        </w:tc>
        <w:tc>
          <w:tcPr>
            <w:tcW w:w="7450" w:type="dxa"/>
            <w:noWrap w:val="0"/>
            <w:tcMar>
              <w:top w:w="75" w:type="dxa"/>
              <w:left w:w="75" w:type="dxa"/>
              <w:bottom w:w="75" w:type="dxa"/>
              <w:right w:w="75" w:type="dxa"/>
            </w:tcMar>
            <w:vAlign w:val="center"/>
          </w:tcPr>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t>1.《中华人民共和国行政处罚法》第三十三条第一款：违法行为轻微并及时改正，没有造成危害后果的，不予行政处罚。初次违法且危害后果轻微并及时改正的，可以不予行政处罚。</w:t>
            </w:r>
          </w:p>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bidi="ar-SA"/>
              </w:rPr>
              <w:t>2.</w:t>
            </w: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t>《中华人民共和国行政处罚法》第三十六条：违法行为在二年内未被发现的，不再给予行政处罚；涉及公民生命健康安全、金融安全且有危害后果的，上述期限延长至五年。法律另有规定的除外。</w:t>
            </w:r>
          </w:p>
          <w:p>
            <w:pPr>
              <w:numPr>
                <w:ilvl w:val="0"/>
                <w:numId w:val="0"/>
              </w:numPr>
              <w:rPr>
                <w:rFonts w:hint="default" w:ascii="Times New Roman" w:hAnsi="Times New Roman" w:eastAsia="仿宋_GB2312" w:cs="Times New Roman"/>
                <w:b w:val="0"/>
                <w:bCs w:val="0"/>
                <w:color w:val="auto"/>
                <w:sz w:val="20"/>
                <w:szCs w:val="20"/>
                <w:highlight w:val="none"/>
                <w:lang w:val="en-US" w:eastAsia="zh-CN"/>
              </w:rPr>
            </w:pP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bidi="ar-SA"/>
              </w:rPr>
              <w:t>3.</w:t>
            </w: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t>《中华人民共和国行政处罚法》第三十三条第二款：当事人有证据足以证明没有主观过错的，不予行政处罚。法律、行政法规另有规定的，从其规定。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6" w:hRule="atLeast"/>
          <w:tblHeader/>
          <w:jc w:val="center"/>
        </w:trPr>
        <w:tc>
          <w:tcPr>
            <w:tcW w:w="747" w:type="dxa"/>
            <w:noWrap w:val="0"/>
            <w:tcMar>
              <w:top w:w="75" w:type="dxa"/>
              <w:left w:w="75" w:type="dxa"/>
              <w:bottom w:w="75" w:type="dxa"/>
              <w:right w:w="75" w:type="dxa"/>
            </w:tcMar>
            <w:vAlign w:val="center"/>
          </w:tcPr>
          <w:p>
            <w:pPr>
              <w:widowControl/>
              <w:snapToGrid/>
              <w:spacing w:before="0" w:beforeAutospacing="0" w:after="0" w:afterAutospacing="0" w:line="240" w:lineRule="atLeast"/>
              <w:jc w:val="center"/>
              <w:textAlignment w:val="baseline"/>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bidi="ar-SA"/>
              </w:rPr>
            </w:pP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bidi="ar-SA"/>
              </w:rPr>
              <w:t>5</w:t>
            </w:r>
          </w:p>
        </w:tc>
        <w:tc>
          <w:tcPr>
            <w:tcW w:w="2584" w:type="dxa"/>
            <w:noWrap w:val="0"/>
            <w:tcMar>
              <w:top w:w="75" w:type="dxa"/>
              <w:left w:w="75" w:type="dxa"/>
              <w:bottom w:w="75" w:type="dxa"/>
              <w:right w:w="75" w:type="dxa"/>
            </w:tcMar>
            <w:vAlign w:val="center"/>
          </w:tcPr>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t>缴费单位有下列情形之一：</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bidi="ar-SA"/>
              </w:rPr>
              <w:t>1.</w:t>
            </w: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t>未按照规定办理社会保险登记、变更登记或者注销登记</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bidi="ar-SA"/>
              </w:rPr>
              <w:t>2.</w:t>
            </w: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t>未按规定从缴费个人工资中代扣代缴社会保险费或者未按规定向职工公布本单位社会保险费缴纳情况</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bidi="ar-SA"/>
              </w:rPr>
              <w:t>3.</w:t>
            </w: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t>伪造、变造、故意毁灭社会保险缴费等财务账册、材料，或者不设账册，致使社会保险费基数无法确定</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bidi="ar-SA"/>
              </w:rPr>
              <w:t>4.</w:t>
            </w: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t>未按时足额缴纳社会保险费</w:t>
            </w:r>
          </w:p>
        </w:tc>
        <w:tc>
          <w:tcPr>
            <w:tcW w:w="3748" w:type="dxa"/>
            <w:noWrap w:val="0"/>
            <w:tcMar>
              <w:top w:w="75" w:type="dxa"/>
              <w:left w:w="75" w:type="dxa"/>
              <w:bottom w:w="75" w:type="dxa"/>
              <w:right w:w="75" w:type="dxa"/>
            </w:tcMar>
            <w:vAlign w:val="center"/>
          </w:tcPr>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bidi="ar-SA"/>
              </w:rPr>
            </w:pP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bidi="ar-SA"/>
              </w:rPr>
              <w:t>具有下列情形之一：</w:t>
            </w:r>
          </w:p>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pPr>
            <w:r>
              <w:rPr>
                <w:rStyle w:val="19"/>
                <w:rFonts w:hint="eastAsia" w:ascii="Times New Roman" w:hAnsi="Times New Roman" w:eastAsia="仿宋_GB2312" w:cs="Times New Roman"/>
                <w:b w:val="0"/>
                <w:bCs w:val="0"/>
                <w:i w:val="0"/>
                <w:caps w:val="0"/>
                <w:color w:val="auto"/>
                <w:spacing w:val="0"/>
                <w:w w:val="100"/>
                <w:kern w:val="0"/>
                <w:sz w:val="20"/>
                <w:szCs w:val="20"/>
                <w:highlight w:val="none"/>
                <w:lang w:val="en-US" w:eastAsia="zh-CN" w:bidi="ar-SA"/>
              </w:rPr>
              <w:t>1.</w:t>
            </w: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t>情节轻微并及时改正，未造成危害后果</w:t>
            </w:r>
            <w:r>
              <w:rPr>
                <w:rStyle w:val="19"/>
                <w:rFonts w:hint="eastAsia" w:ascii="Times New Roman" w:hAnsi="Times New Roman" w:eastAsia="仿宋_GB2312" w:cs="Times New Roman"/>
                <w:b w:val="0"/>
                <w:bCs w:val="0"/>
                <w:i w:val="0"/>
                <w:caps w:val="0"/>
                <w:color w:val="auto"/>
                <w:spacing w:val="0"/>
                <w:w w:val="100"/>
                <w:kern w:val="0"/>
                <w:sz w:val="20"/>
                <w:szCs w:val="20"/>
                <w:highlight w:val="none"/>
                <w:lang w:val="en-US" w:eastAsia="zh-CN" w:bidi="ar-SA"/>
              </w:rPr>
              <w:t>；</w:t>
            </w:r>
          </w:p>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bidi="ar-SA"/>
              </w:rPr>
              <w:t>2.</w:t>
            </w: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t>初次实施，情节轻微并及时改正</w:t>
            </w:r>
            <w:r>
              <w:rPr>
                <w:rStyle w:val="19"/>
                <w:rFonts w:hint="eastAsia" w:ascii="Times New Roman" w:hAnsi="Times New Roman" w:eastAsia="仿宋_GB2312" w:cs="Times New Roman"/>
                <w:b w:val="0"/>
                <w:bCs w:val="0"/>
                <w:i w:val="0"/>
                <w:caps w:val="0"/>
                <w:color w:val="auto"/>
                <w:spacing w:val="0"/>
                <w:w w:val="100"/>
                <w:kern w:val="0"/>
                <w:sz w:val="20"/>
                <w:szCs w:val="20"/>
                <w:highlight w:val="none"/>
                <w:lang w:val="en-US" w:eastAsia="zh-CN" w:bidi="ar-SA"/>
              </w:rPr>
              <w:t>；</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bidi="ar-SA"/>
              </w:rPr>
              <w:t>3.</w:t>
            </w: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t>违法行为在二年内未被发现</w:t>
            </w:r>
            <w:r>
              <w:rPr>
                <w:rStyle w:val="19"/>
                <w:rFonts w:hint="eastAsia" w:ascii="Times New Roman" w:hAnsi="Times New Roman" w:eastAsia="仿宋_GB2312" w:cs="Times New Roman"/>
                <w:b w:val="0"/>
                <w:bCs w:val="0"/>
                <w:i w:val="0"/>
                <w:caps w:val="0"/>
                <w:color w:val="auto"/>
                <w:spacing w:val="0"/>
                <w:w w:val="100"/>
                <w:kern w:val="0"/>
                <w:sz w:val="20"/>
                <w:szCs w:val="20"/>
                <w:highlight w:val="none"/>
                <w:lang w:val="en-US" w:eastAsia="zh-CN" w:bidi="ar-SA"/>
              </w:rPr>
              <w:t>；</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bidi="ar-SA"/>
              </w:rPr>
            </w:pP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bidi="ar-SA"/>
              </w:rPr>
              <w:t>4.</w:t>
            </w: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t>提交了足以证明自己没有主观过错的证据，且法律、行政法规对该适用条件没有其他不同规定</w:t>
            </w:r>
            <w:r>
              <w:rPr>
                <w:rStyle w:val="19"/>
                <w:rFonts w:hint="eastAsia" w:ascii="Times New Roman" w:hAnsi="Times New Roman" w:eastAsia="仿宋_GB2312" w:cs="Times New Roman"/>
                <w:b w:val="0"/>
                <w:bCs w:val="0"/>
                <w:i w:val="0"/>
                <w:caps w:val="0"/>
                <w:color w:val="auto"/>
                <w:spacing w:val="0"/>
                <w:w w:val="100"/>
                <w:kern w:val="0"/>
                <w:sz w:val="20"/>
                <w:szCs w:val="20"/>
                <w:highlight w:val="none"/>
                <w:lang w:val="en-US" w:eastAsia="zh-CN" w:bidi="ar-SA"/>
              </w:rPr>
              <w:t>。</w:t>
            </w:r>
          </w:p>
        </w:tc>
        <w:tc>
          <w:tcPr>
            <w:tcW w:w="7450" w:type="dxa"/>
            <w:noWrap w:val="0"/>
            <w:tcMar>
              <w:top w:w="75" w:type="dxa"/>
              <w:left w:w="75" w:type="dxa"/>
              <w:bottom w:w="75" w:type="dxa"/>
              <w:right w:w="75" w:type="dxa"/>
            </w:tcMar>
            <w:vAlign w:val="center"/>
          </w:tcPr>
          <w:p>
            <w:pPr>
              <w:pStyle w:val="2"/>
              <w:numPr>
                <w:ilvl w:val="0"/>
                <w:numId w:val="0"/>
              </w:numPr>
              <w:rPr>
                <w:rFonts w:hint="default" w:ascii="Times New Roman" w:hAnsi="Times New Roman" w:eastAsia="仿宋_GB2312" w:cs="Times New Roman"/>
                <w:b w:val="0"/>
                <w:bCs w:val="0"/>
                <w:color w:val="auto"/>
                <w:sz w:val="20"/>
                <w:szCs w:val="20"/>
                <w:highlight w:val="none"/>
                <w:lang w:val="en-US" w:eastAsia="zh-CN"/>
              </w:rPr>
            </w:pPr>
            <w:r>
              <w:rPr>
                <w:rFonts w:hint="default" w:ascii="Times New Roman" w:hAnsi="Times New Roman" w:cs="Times New Roman"/>
                <w:b w:val="0"/>
                <w:bCs w:val="0"/>
                <w:color w:val="auto"/>
                <w:sz w:val="20"/>
                <w:szCs w:val="20"/>
                <w:highlight w:val="none"/>
                <w:lang w:val="en-US" w:eastAsia="zh-CN"/>
              </w:rPr>
              <w:t>1.</w:t>
            </w:r>
            <w:r>
              <w:rPr>
                <w:rFonts w:hint="default" w:ascii="Times New Roman" w:hAnsi="Times New Roman" w:eastAsia="仿宋_GB2312" w:cs="Times New Roman"/>
                <w:b w:val="0"/>
                <w:bCs w:val="0"/>
                <w:color w:val="auto"/>
                <w:sz w:val="20"/>
                <w:szCs w:val="20"/>
                <w:highlight w:val="none"/>
                <w:lang w:val="en-US" w:eastAsia="zh-CN"/>
              </w:rPr>
              <w:t>《中华人民共和国行政处罚法》第三十三条第一款：违法行为轻微并及时改正，没有造成危害后果的，不予行政处罚。初次违法且危害后果轻微并及时改正的，可以不予行政处罚</w:t>
            </w:r>
            <w:r>
              <w:rPr>
                <w:rFonts w:hint="default" w:ascii="Times New Roman" w:hAnsi="Times New Roman" w:cs="Times New Roman"/>
                <w:b w:val="0"/>
                <w:bCs w:val="0"/>
                <w:color w:val="auto"/>
                <w:sz w:val="20"/>
                <w:szCs w:val="20"/>
                <w:highlight w:val="none"/>
                <w:lang w:val="en-US" w:eastAsia="zh-CN"/>
              </w:rPr>
              <w:t>。</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bidi="ar-SA"/>
              </w:rPr>
              <w:t>2.</w:t>
            </w: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t>《中华人民共和国行政处罚法》第三十六条：违法行为在二年内未被发现的，不再给予行政处罚；涉及公民生命健康安全、金融安全且有危害后果的，上述期限延长至五年。法律另有规定的除外。</w:t>
            </w:r>
          </w:p>
          <w:p>
            <w:pPr>
              <w:rPr>
                <w:rFonts w:hint="default" w:ascii="Times New Roman" w:hAnsi="Times New Roman" w:eastAsia="仿宋_GB2312" w:cs="Times New Roman"/>
                <w:b w:val="0"/>
                <w:bCs w:val="0"/>
                <w:color w:val="auto"/>
                <w:sz w:val="20"/>
                <w:szCs w:val="20"/>
                <w:highlight w:val="none"/>
                <w:lang w:val="en-US" w:eastAsia="zh-CN"/>
              </w:rPr>
            </w:pP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 w:eastAsia="zh-CN" w:bidi="ar-SA"/>
              </w:rPr>
              <w:t>3.</w:t>
            </w: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bidi="ar-SA"/>
              </w:rPr>
              <w:t>《中华人民共和国行政处罚法》第三十三条第二款：当事人有证据足以证明没有主观过错的，不予行政处罚。法律、行政法规另有规定的，从其规定。</w:t>
            </w:r>
          </w:p>
        </w:tc>
      </w:tr>
    </w:tbl>
    <w:p>
      <w:pPr>
        <w:pStyle w:val="16"/>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auto"/>
          <w:kern w:val="2"/>
          <w:sz w:val="40"/>
          <w:szCs w:val="40"/>
          <w:highlight w:val="none"/>
          <w:lang w:val="en-US" w:eastAsia="zh-CN" w:bidi="ar-SA"/>
        </w:rPr>
      </w:pPr>
    </w:p>
    <w:p>
      <w:pPr>
        <w:pStyle w:val="16"/>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auto"/>
          <w:kern w:val="2"/>
          <w:sz w:val="40"/>
          <w:szCs w:val="40"/>
          <w:highlight w:val="none"/>
          <w:lang w:val="en-US" w:eastAsia="zh-CN" w:bidi="ar-SA"/>
        </w:rPr>
      </w:pPr>
    </w:p>
    <w:p>
      <w:pPr>
        <w:pStyle w:val="16"/>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auto"/>
          <w:kern w:val="2"/>
          <w:sz w:val="40"/>
          <w:szCs w:val="40"/>
          <w:highlight w:val="none"/>
          <w:lang w:val="en-US" w:eastAsia="zh-CN" w:bidi="ar-SA"/>
        </w:rPr>
      </w:pPr>
    </w:p>
    <w:p>
      <w:pPr>
        <w:pStyle w:val="16"/>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auto"/>
          <w:kern w:val="2"/>
          <w:sz w:val="40"/>
          <w:szCs w:val="40"/>
          <w:highlight w:val="none"/>
          <w:lang w:val="en-US" w:eastAsia="zh-CN" w:bidi="ar-SA"/>
        </w:rPr>
      </w:pPr>
    </w:p>
    <w:p>
      <w:pPr>
        <w:pStyle w:val="16"/>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auto"/>
          <w:kern w:val="2"/>
          <w:sz w:val="40"/>
          <w:szCs w:val="40"/>
          <w:highlight w:val="none"/>
          <w:lang w:val="en-US" w:eastAsia="zh-CN" w:bidi="ar-SA"/>
        </w:rPr>
      </w:pPr>
    </w:p>
    <w:p>
      <w:pPr>
        <w:pStyle w:val="16"/>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auto"/>
          <w:kern w:val="2"/>
          <w:sz w:val="40"/>
          <w:szCs w:val="40"/>
          <w:highlight w:val="none"/>
          <w:lang w:val="en-US" w:eastAsia="zh-CN" w:bidi="ar-SA"/>
        </w:rPr>
      </w:pPr>
    </w:p>
    <w:p>
      <w:pPr>
        <w:pStyle w:val="16"/>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auto"/>
          <w:kern w:val="2"/>
          <w:sz w:val="40"/>
          <w:szCs w:val="40"/>
          <w:highlight w:val="none"/>
          <w:lang w:val="en-US" w:eastAsia="zh-CN" w:bidi="ar-SA"/>
        </w:rPr>
      </w:pPr>
    </w:p>
    <w:p>
      <w:pPr>
        <w:pStyle w:val="16"/>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auto"/>
          <w:kern w:val="2"/>
          <w:sz w:val="40"/>
          <w:szCs w:val="40"/>
          <w:highlight w:val="none"/>
          <w:lang w:val="en-US" w:eastAsia="zh-CN" w:bidi="ar-SA"/>
        </w:rPr>
      </w:pPr>
    </w:p>
    <w:p>
      <w:pPr>
        <w:pStyle w:val="16"/>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auto"/>
          <w:kern w:val="2"/>
          <w:sz w:val="40"/>
          <w:szCs w:val="40"/>
          <w:highlight w:val="none"/>
          <w:lang w:val="en-US" w:eastAsia="zh-CN" w:bidi="ar-SA"/>
        </w:rPr>
      </w:pPr>
      <w:r>
        <w:rPr>
          <w:rFonts w:hint="default" w:ascii="Times New Roman" w:hAnsi="Times New Roman" w:eastAsia="方正小标宋简体" w:cs="Times New Roman"/>
          <w:color w:val="auto"/>
          <w:kern w:val="2"/>
          <w:sz w:val="40"/>
          <w:szCs w:val="40"/>
          <w:highlight w:val="none"/>
          <w:lang w:val="en-US" w:eastAsia="zh-CN" w:bidi="ar-SA"/>
        </w:rPr>
        <w:t>二、免予处罚清单</w:t>
      </w:r>
    </w:p>
    <w:tbl>
      <w:tblPr>
        <w:tblStyle w:val="11"/>
        <w:tblpPr w:leftFromText="180" w:rightFromText="180" w:vertAnchor="text" w:horzAnchor="page" w:tblpXSpec="center" w:tblpY="420"/>
        <w:tblOverlap w:val="never"/>
        <w:tblW w:w="13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75" w:type="dxa"/>
          <w:left w:w="150" w:type="dxa"/>
          <w:bottom w:w="75" w:type="dxa"/>
          <w:right w:w="150" w:type="dxa"/>
        </w:tblCellMar>
      </w:tblPr>
      <w:tblGrid>
        <w:gridCol w:w="747"/>
        <w:gridCol w:w="3165"/>
        <w:gridCol w:w="3167"/>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blHeader/>
          <w:jc w:val="center"/>
        </w:trPr>
        <w:tc>
          <w:tcPr>
            <w:tcW w:w="747" w:type="dxa"/>
            <w:noWrap w:val="0"/>
            <w:tcMar>
              <w:top w:w="75" w:type="dxa"/>
              <w:left w:w="75" w:type="dxa"/>
              <w:bottom w:w="75" w:type="dxa"/>
              <w:right w:w="75" w:type="dxa"/>
            </w:tcMar>
            <w:vAlign w:val="center"/>
          </w:tcPr>
          <w:p>
            <w:pPr>
              <w:widowControl/>
              <w:snapToGrid/>
              <w:spacing w:before="0" w:beforeAutospacing="0" w:after="0" w:afterAutospacing="0" w:line="360" w:lineRule="exact"/>
              <w:jc w:val="center"/>
              <w:textAlignment w:val="baseline"/>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pPr>
            <w:r>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t>序号</w:t>
            </w:r>
          </w:p>
        </w:tc>
        <w:tc>
          <w:tcPr>
            <w:tcW w:w="3165" w:type="dxa"/>
            <w:noWrap w:val="0"/>
            <w:tcMar>
              <w:top w:w="75" w:type="dxa"/>
              <w:left w:w="75" w:type="dxa"/>
              <w:bottom w:w="75" w:type="dxa"/>
              <w:right w:w="75" w:type="dxa"/>
            </w:tcMar>
            <w:vAlign w:val="center"/>
          </w:tcPr>
          <w:p>
            <w:pPr>
              <w:widowControl/>
              <w:snapToGrid/>
              <w:spacing w:before="0" w:beforeAutospacing="0" w:after="0" w:afterAutospacing="0" w:line="360" w:lineRule="exact"/>
              <w:jc w:val="center"/>
              <w:textAlignment w:val="baseline"/>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pPr>
            <w:r>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t>违法行为</w:t>
            </w:r>
          </w:p>
        </w:tc>
        <w:tc>
          <w:tcPr>
            <w:tcW w:w="3167" w:type="dxa"/>
            <w:noWrap w:val="0"/>
            <w:tcMar>
              <w:top w:w="75" w:type="dxa"/>
              <w:left w:w="75" w:type="dxa"/>
              <w:bottom w:w="75" w:type="dxa"/>
              <w:right w:w="75" w:type="dxa"/>
            </w:tcMar>
            <w:vAlign w:val="center"/>
          </w:tcPr>
          <w:p>
            <w:pPr>
              <w:widowControl/>
              <w:snapToGrid/>
              <w:spacing w:before="0" w:beforeAutospacing="0" w:after="0" w:afterAutospacing="0" w:line="360" w:lineRule="exact"/>
              <w:jc w:val="center"/>
              <w:textAlignment w:val="baseline"/>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pPr>
            <w:r>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t>免予处罚适用条件</w:t>
            </w:r>
          </w:p>
        </w:tc>
        <w:tc>
          <w:tcPr>
            <w:tcW w:w="6318" w:type="dxa"/>
            <w:noWrap w:val="0"/>
            <w:tcMar>
              <w:top w:w="75" w:type="dxa"/>
              <w:left w:w="75" w:type="dxa"/>
              <w:bottom w:w="75" w:type="dxa"/>
              <w:right w:w="75" w:type="dxa"/>
            </w:tcMar>
            <w:vAlign w:val="center"/>
          </w:tcPr>
          <w:p>
            <w:pPr>
              <w:widowControl/>
              <w:snapToGrid/>
              <w:spacing w:before="0" w:beforeAutospacing="0" w:after="0" w:afterAutospacing="0" w:line="360" w:lineRule="exact"/>
              <w:jc w:val="center"/>
              <w:textAlignment w:val="baseline"/>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pPr>
            <w:r>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t>法律依据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5" w:hRule="atLeast"/>
          <w:tblHeader/>
          <w:jc w:val="center"/>
        </w:trPr>
        <w:tc>
          <w:tcPr>
            <w:tcW w:w="747" w:type="dxa"/>
            <w:noWrap w:val="0"/>
            <w:tcMar>
              <w:top w:w="75" w:type="dxa"/>
              <w:left w:w="75" w:type="dxa"/>
              <w:bottom w:w="75" w:type="dxa"/>
              <w:right w:w="75" w:type="dxa"/>
            </w:tcMar>
            <w:vAlign w:val="center"/>
          </w:tcPr>
          <w:p>
            <w:pPr>
              <w:widowControl/>
              <w:snapToGrid/>
              <w:spacing w:before="0" w:beforeAutospacing="0" w:after="0" w:afterAutospacing="0" w:line="360" w:lineRule="exact"/>
              <w:jc w:val="center"/>
              <w:textAlignment w:val="baseline"/>
              <w:rPr>
                <w:rStyle w:val="19"/>
                <w:rFonts w:hint="default" w:ascii="Times New Roman" w:hAnsi="Times New Roman" w:eastAsia="仿宋_GB2312" w:cs="Times New Roman"/>
                <w:b w:val="0"/>
                <w:i w:val="0"/>
                <w:caps w:val="0"/>
                <w:color w:val="auto"/>
                <w:spacing w:val="0"/>
                <w:w w:val="100"/>
                <w:kern w:val="0"/>
                <w:sz w:val="28"/>
                <w:szCs w:val="28"/>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8"/>
                <w:szCs w:val="28"/>
                <w:highlight w:val="none"/>
                <w:lang w:val="en" w:eastAsia="zh-CN" w:bidi="ar-SA"/>
              </w:rPr>
              <w:t>/</w:t>
            </w:r>
          </w:p>
        </w:tc>
        <w:tc>
          <w:tcPr>
            <w:tcW w:w="3165" w:type="dxa"/>
            <w:noWrap w:val="0"/>
            <w:tcMar>
              <w:top w:w="75" w:type="dxa"/>
              <w:left w:w="75" w:type="dxa"/>
              <w:bottom w:w="75" w:type="dxa"/>
              <w:right w:w="75" w:type="dxa"/>
            </w:tcMar>
            <w:vAlign w:val="center"/>
          </w:tcPr>
          <w:p>
            <w:pPr>
              <w:widowControl/>
              <w:snapToGrid/>
              <w:spacing w:before="0" w:beforeAutospacing="0" w:after="0" w:afterAutospacing="0" w:line="360" w:lineRule="exact"/>
              <w:jc w:val="center"/>
              <w:textAlignment w:val="baseline"/>
              <w:rPr>
                <w:rStyle w:val="19"/>
                <w:rFonts w:hint="default" w:ascii="Times New Roman" w:hAnsi="Times New Roman" w:eastAsia="仿宋_GB2312" w:cs="Times New Roman"/>
                <w:b w:val="0"/>
                <w:i w:val="0"/>
                <w:caps w:val="0"/>
                <w:color w:val="auto"/>
                <w:spacing w:val="0"/>
                <w:w w:val="100"/>
                <w:kern w:val="0"/>
                <w:sz w:val="28"/>
                <w:szCs w:val="28"/>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8"/>
                <w:szCs w:val="28"/>
                <w:highlight w:val="none"/>
                <w:lang w:val="en" w:eastAsia="zh-CN" w:bidi="ar-SA"/>
              </w:rPr>
              <w:t>/</w:t>
            </w:r>
          </w:p>
        </w:tc>
        <w:tc>
          <w:tcPr>
            <w:tcW w:w="3167" w:type="dxa"/>
            <w:noWrap w:val="0"/>
            <w:tcMar>
              <w:top w:w="75" w:type="dxa"/>
              <w:left w:w="75" w:type="dxa"/>
              <w:bottom w:w="75" w:type="dxa"/>
              <w:right w:w="75" w:type="dxa"/>
            </w:tcMar>
            <w:vAlign w:val="center"/>
          </w:tcPr>
          <w:p>
            <w:pPr>
              <w:widowControl/>
              <w:snapToGrid/>
              <w:spacing w:before="0" w:beforeAutospacing="0" w:after="0" w:afterAutospacing="0" w:line="360" w:lineRule="exact"/>
              <w:jc w:val="center"/>
              <w:textAlignment w:val="baseline"/>
              <w:rPr>
                <w:rStyle w:val="19"/>
                <w:rFonts w:hint="default" w:ascii="Times New Roman" w:hAnsi="Times New Roman" w:eastAsia="仿宋_GB2312" w:cs="Times New Roman"/>
                <w:b w:val="0"/>
                <w:i w:val="0"/>
                <w:caps w:val="0"/>
                <w:color w:val="auto"/>
                <w:spacing w:val="0"/>
                <w:w w:val="100"/>
                <w:kern w:val="0"/>
                <w:sz w:val="28"/>
                <w:szCs w:val="28"/>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8"/>
                <w:szCs w:val="28"/>
                <w:highlight w:val="none"/>
                <w:lang w:val="en" w:eastAsia="zh-CN" w:bidi="ar-SA"/>
              </w:rPr>
              <w:t>/</w:t>
            </w:r>
          </w:p>
        </w:tc>
        <w:tc>
          <w:tcPr>
            <w:tcW w:w="6318" w:type="dxa"/>
            <w:noWrap w:val="0"/>
            <w:tcMar>
              <w:top w:w="75" w:type="dxa"/>
              <w:left w:w="75" w:type="dxa"/>
              <w:bottom w:w="75" w:type="dxa"/>
              <w:right w:w="75" w:type="dxa"/>
            </w:tcMar>
            <w:vAlign w:val="center"/>
          </w:tcPr>
          <w:p>
            <w:pPr>
              <w:widowControl/>
              <w:snapToGrid/>
              <w:spacing w:before="0" w:beforeAutospacing="0" w:after="0" w:afterAutospacing="0" w:line="360" w:lineRule="exact"/>
              <w:jc w:val="center"/>
              <w:textAlignment w:val="baseline"/>
              <w:rPr>
                <w:rStyle w:val="19"/>
                <w:rFonts w:hint="default" w:ascii="Times New Roman" w:hAnsi="Times New Roman" w:eastAsia="仿宋_GB2312" w:cs="Times New Roman"/>
                <w:b w:val="0"/>
                <w:i w:val="0"/>
                <w:caps w:val="0"/>
                <w:color w:val="auto"/>
                <w:spacing w:val="0"/>
                <w:w w:val="100"/>
                <w:kern w:val="0"/>
                <w:sz w:val="28"/>
                <w:szCs w:val="28"/>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8"/>
                <w:szCs w:val="28"/>
                <w:highlight w:val="none"/>
                <w:lang w:val="en-US" w:eastAsia="zh-CN" w:bidi="ar-SA"/>
              </w:rPr>
              <w:t>无相关法律规定</w:t>
            </w:r>
          </w:p>
        </w:tc>
      </w:tr>
    </w:tbl>
    <w:p>
      <w:pPr>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br w:type="page"/>
      </w:r>
    </w:p>
    <w:p>
      <w:pPr>
        <w:pStyle w:val="16"/>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auto"/>
          <w:kern w:val="2"/>
          <w:sz w:val="36"/>
          <w:szCs w:val="36"/>
          <w:highlight w:val="none"/>
          <w:lang w:val="en-US" w:eastAsia="zh-CN" w:bidi="ar-SA"/>
        </w:rPr>
      </w:pPr>
      <w:r>
        <w:rPr>
          <w:rFonts w:hint="default" w:ascii="Times New Roman" w:hAnsi="Times New Roman" w:eastAsia="方正小标宋简体" w:cs="Times New Roman"/>
          <w:color w:val="auto"/>
          <w:kern w:val="2"/>
          <w:sz w:val="36"/>
          <w:szCs w:val="36"/>
          <w:highlight w:val="none"/>
          <w:lang w:val="en-US" w:eastAsia="zh-CN" w:bidi="ar-SA"/>
        </w:rPr>
        <w:t>三、从轻处罚清单</w:t>
      </w:r>
    </w:p>
    <w:tbl>
      <w:tblPr>
        <w:tblStyle w:val="11"/>
        <w:tblpPr w:leftFromText="180" w:rightFromText="180" w:vertAnchor="text" w:horzAnchor="page" w:tblpX="1723" w:tblpY="803"/>
        <w:tblOverlap w:val="never"/>
        <w:tblW w:w="14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75" w:type="dxa"/>
          <w:left w:w="150" w:type="dxa"/>
          <w:bottom w:w="75" w:type="dxa"/>
          <w:right w:w="150" w:type="dxa"/>
        </w:tblCellMar>
      </w:tblPr>
      <w:tblGrid>
        <w:gridCol w:w="878"/>
        <w:gridCol w:w="3146"/>
        <w:gridCol w:w="4146"/>
        <w:gridCol w:w="6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blHeader/>
        </w:trPr>
        <w:tc>
          <w:tcPr>
            <w:tcW w:w="878" w:type="dxa"/>
            <w:noWrap w:val="0"/>
            <w:tcMar>
              <w:top w:w="75" w:type="dxa"/>
              <w:left w:w="75" w:type="dxa"/>
              <w:bottom w:w="75" w:type="dxa"/>
              <w:right w:w="75" w:type="dxa"/>
            </w:tcMar>
            <w:vAlign w:val="center"/>
          </w:tcPr>
          <w:p>
            <w:pPr>
              <w:widowControl/>
              <w:snapToGrid/>
              <w:spacing w:before="0" w:beforeAutospacing="0" w:after="0" w:afterAutospacing="0" w:line="360" w:lineRule="exact"/>
              <w:jc w:val="center"/>
              <w:textAlignment w:val="baseline"/>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pPr>
            <w:r>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t>序号</w:t>
            </w:r>
          </w:p>
        </w:tc>
        <w:tc>
          <w:tcPr>
            <w:tcW w:w="3146" w:type="dxa"/>
            <w:noWrap w:val="0"/>
            <w:tcMar>
              <w:top w:w="75" w:type="dxa"/>
              <w:left w:w="75" w:type="dxa"/>
              <w:bottom w:w="75" w:type="dxa"/>
              <w:right w:w="75" w:type="dxa"/>
            </w:tcMar>
            <w:vAlign w:val="center"/>
          </w:tcPr>
          <w:p>
            <w:pPr>
              <w:widowControl/>
              <w:snapToGrid/>
              <w:spacing w:before="0" w:beforeAutospacing="0" w:after="0" w:afterAutospacing="0" w:line="360" w:lineRule="exact"/>
              <w:jc w:val="center"/>
              <w:textAlignment w:val="baseline"/>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pPr>
            <w:r>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t>违法行为</w:t>
            </w:r>
          </w:p>
        </w:tc>
        <w:tc>
          <w:tcPr>
            <w:tcW w:w="4146" w:type="dxa"/>
            <w:noWrap w:val="0"/>
            <w:tcMar>
              <w:top w:w="75" w:type="dxa"/>
              <w:left w:w="75" w:type="dxa"/>
              <w:bottom w:w="75" w:type="dxa"/>
              <w:right w:w="75" w:type="dxa"/>
            </w:tcMar>
            <w:vAlign w:val="center"/>
          </w:tcPr>
          <w:p>
            <w:pPr>
              <w:widowControl/>
              <w:snapToGrid/>
              <w:spacing w:before="0" w:beforeAutospacing="0" w:after="0" w:afterAutospacing="0" w:line="360" w:lineRule="exact"/>
              <w:jc w:val="center"/>
              <w:textAlignment w:val="baseline"/>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pPr>
            <w:r>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t>从轻处罚适用条件</w:t>
            </w:r>
          </w:p>
        </w:tc>
        <w:tc>
          <w:tcPr>
            <w:tcW w:w="6020" w:type="dxa"/>
            <w:noWrap w:val="0"/>
            <w:tcMar>
              <w:top w:w="75" w:type="dxa"/>
              <w:left w:w="75" w:type="dxa"/>
              <w:bottom w:w="75" w:type="dxa"/>
              <w:right w:w="75" w:type="dxa"/>
            </w:tcMar>
            <w:vAlign w:val="center"/>
          </w:tcPr>
          <w:p>
            <w:pPr>
              <w:widowControl/>
              <w:snapToGrid/>
              <w:spacing w:before="0" w:beforeAutospacing="0" w:after="0" w:afterAutospacing="0" w:line="360" w:lineRule="exact"/>
              <w:jc w:val="center"/>
              <w:textAlignment w:val="baseline"/>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pPr>
            <w:r>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t>法律依据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6" w:hRule="atLeast"/>
          <w:tblHeader/>
        </w:trPr>
        <w:tc>
          <w:tcPr>
            <w:tcW w:w="878" w:type="dxa"/>
            <w:noWrap w:val="0"/>
            <w:tcMar>
              <w:top w:w="75" w:type="dxa"/>
              <w:left w:w="75" w:type="dxa"/>
              <w:bottom w:w="75" w:type="dxa"/>
              <w:right w:w="75" w:type="dxa"/>
            </w:tcMar>
            <w:vAlign w:val="center"/>
          </w:tcPr>
          <w:p>
            <w:pPr>
              <w:widowControl/>
              <w:snapToGrid/>
              <w:spacing w:before="0" w:beforeAutospacing="0" w:after="0" w:afterAutospacing="0" w:line="240" w:lineRule="atLeast"/>
              <w:jc w:val="center"/>
              <w:textAlignment w:val="baseline"/>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t>1</w:t>
            </w:r>
          </w:p>
        </w:tc>
        <w:tc>
          <w:tcPr>
            <w:tcW w:w="3146" w:type="dxa"/>
            <w:noWrap w:val="0"/>
            <w:tcMar>
              <w:top w:w="75" w:type="dxa"/>
              <w:left w:w="75" w:type="dxa"/>
              <w:bottom w:w="75" w:type="dxa"/>
              <w:right w:w="75" w:type="dxa"/>
            </w:tcMar>
            <w:vAlign w:val="center"/>
          </w:tcPr>
          <w:p>
            <w:pPr>
              <w:widowControl/>
              <w:snapToGrid/>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t>医疗保障经办机构、定点医药机构、个人骗取医疗保障基金</w:t>
            </w:r>
          </w:p>
        </w:tc>
        <w:tc>
          <w:tcPr>
            <w:tcW w:w="4146" w:type="dxa"/>
            <w:noWrap w:val="0"/>
            <w:tcMar>
              <w:top w:w="75" w:type="dxa"/>
              <w:left w:w="75" w:type="dxa"/>
              <w:bottom w:w="75" w:type="dxa"/>
              <w:right w:w="75" w:type="dxa"/>
            </w:tcMar>
            <w:vAlign w:val="center"/>
          </w:tcPr>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t>具有下列情形之一：</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t>1.</w:t>
            </w:r>
            <w:r>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t>已满14周岁不满18周岁的公民实施</w:t>
            </w:r>
            <w:r>
              <w:rPr>
                <w:rStyle w:val="19"/>
                <w:rFonts w:hint="eastAsia" w:ascii="Times New Roman" w:hAnsi="Times New Roman" w:eastAsia="仿宋_GB2312" w:cs="Times New Roman"/>
                <w:b w:val="0"/>
                <w:i w:val="0"/>
                <w:caps w:val="0"/>
                <w:color w:val="auto"/>
                <w:spacing w:val="0"/>
                <w:w w:val="100"/>
                <w:kern w:val="0"/>
                <w:sz w:val="21"/>
                <w:szCs w:val="21"/>
                <w:highlight w:val="none"/>
                <w:lang w:val="en-US" w:eastAsia="zh-CN" w:bidi="ar-SA"/>
              </w:rPr>
              <w:t>；</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t>2.</w:t>
            </w:r>
            <w:r>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t>尚未完全丧失辨认或者控制自己行为能力的精神病人、智力残疾人实施</w:t>
            </w:r>
            <w:r>
              <w:rPr>
                <w:rStyle w:val="19"/>
                <w:rFonts w:hint="eastAsia" w:ascii="Times New Roman" w:hAnsi="Times New Roman" w:eastAsia="仿宋_GB2312" w:cs="Times New Roman"/>
                <w:b w:val="0"/>
                <w:i w:val="0"/>
                <w:caps w:val="0"/>
                <w:color w:val="auto"/>
                <w:spacing w:val="0"/>
                <w:w w:val="100"/>
                <w:kern w:val="0"/>
                <w:sz w:val="21"/>
                <w:szCs w:val="21"/>
                <w:highlight w:val="none"/>
                <w:lang w:val="en-US" w:eastAsia="zh-CN" w:bidi="ar-SA"/>
              </w:rPr>
              <w:t>；</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t>3.</w:t>
            </w:r>
            <w:r>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t>主动消除或者减轻基金使用违法行为危害后果</w:t>
            </w:r>
            <w:r>
              <w:rPr>
                <w:rStyle w:val="19"/>
                <w:rFonts w:hint="eastAsia" w:ascii="Times New Roman" w:hAnsi="Times New Roman" w:eastAsia="仿宋_GB2312" w:cs="Times New Roman"/>
                <w:b w:val="0"/>
                <w:i w:val="0"/>
                <w:caps w:val="0"/>
                <w:color w:val="auto"/>
                <w:spacing w:val="0"/>
                <w:w w:val="100"/>
                <w:kern w:val="0"/>
                <w:sz w:val="21"/>
                <w:szCs w:val="21"/>
                <w:highlight w:val="none"/>
                <w:lang w:val="en-US" w:eastAsia="zh-CN" w:bidi="ar-SA"/>
              </w:rPr>
              <w:t>；</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t>4.</w:t>
            </w:r>
            <w:r>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t>受他人胁迫或者诱骗实施</w:t>
            </w:r>
            <w:r>
              <w:rPr>
                <w:rStyle w:val="19"/>
                <w:rFonts w:hint="eastAsia" w:ascii="Times New Roman" w:hAnsi="Times New Roman" w:eastAsia="仿宋_GB2312" w:cs="Times New Roman"/>
                <w:b w:val="0"/>
                <w:i w:val="0"/>
                <w:caps w:val="0"/>
                <w:color w:val="auto"/>
                <w:spacing w:val="0"/>
                <w:w w:val="100"/>
                <w:kern w:val="0"/>
                <w:sz w:val="21"/>
                <w:szCs w:val="21"/>
                <w:highlight w:val="none"/>
                <w:lang w:val="en-US" w:eastAsia="zh-CN" w:bidi="ar-SA"/>
              </w:rPr>
              <w:t>；</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t>5.</w:t>
            </w:r>
            <w:r>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t>主动供述医疗保障行政部门尚未掌握的违反医疗保障相关法律规范的行为的关键线索或证据，并经查证属实</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t>6.</w:t>
            </w:r>
            <w:r>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t>配合医疗保障行政部门查处违法行为有立功表现</w:t>
            </w:r>
            <w:r>
              <w:rPr>
                <w:rStyle w:val="19"/>
                <w:rFonts w:hint="eastAsia" w:ascii="Times New Roman" w:hAnsi="Times New Roman" w:eastAsia="仿宋_GB2312" w:cs="Times New Roman"/>
                <w:b w:val="0"/>
                <w:i w:val="0"/>
                <w:caps w:val="0"/>
                <w:color w:val="auto"/>
                <w:spacing w:val="0"/>
                <w:w w:val="100"/>
                <w:kern w:val="0"/>
                <w:sz w:val="21"/>
                <w:szCs w:val="21"/>
                <w:highlight w:val="none"/>
                <w:lang w:val="en-US" w:eastAsia="zh-CN" w:bidi="ar-SA"/>
              </w:rPr>
              <w:t>；</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t>7.</w:t>
            </w:r>
            <w:r>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t>法律、法规、规章规定其他应当从轻或者减轻行政处罚</w:t>
            </w:r>
            <w:r>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rPr>
              <w:t>的情形。</w:t>
            </w:r>
          </w:p>
        </w:tc>
        <w:tc>
          <w:tcPr>
            <w:tcW w:w="6020" w:type="dxa"/>
            <w:noWrap w:val="0"/>
            <w:tcMar>
              <w:top w:w="75" w:type="dxa"/>
              <w:left w:w="75" w:type="dxa"/>
              <w:bottom w:w="75" w:type="dxa"/>
              <w:right w:w="75" w:type="dxa"/>
            </w:tcMar>
            <w:vAlign w:val="center"/>
          </w:tcPr>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t>1.</w:t>
            </w:r>
            <w:r>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t>《中华人民共和国行政处罚法》第三十条：已满十四周岁不满十八周岁的未成年人有违法行为的，应当从轻或者减轻行政处罚。</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t>2.</w:t>
            </w:r>
            <w:r>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t>《中华人民共和国行政处罚法》第三十一条：</w:t>
            </w:r>
            <w:r>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t>……</w:t>
            </w:r>
            <w:r>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t>尚未完全丧失辨认或者控制自己行为能力的精神病人、智力残疾人有违法行为的，可以从轻或者减轻行政处罚。</w:t>
            </w:r>
          </w:p>
          <w:p>
            <w:pPr>
              <w:widowControl/>
              <w:numPr>
                <w:ilvl w:val="0"/>
                <w:numId w:val="0"/>
              </w:numPr>
              <w:snapToGrid/>
              <w:spacing w:before="0" w:beforeAutospacing="0" w:after="0" w:afterAutospacing="0" w:line="240" w:lineRule="atLeast"/>
              <w:jc w:val="both"/>
              <w:textAlignment w:val="baseline"/>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t>3.</w:t>
            </w:r>
            <w:r>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t>《中华人民共和国行政处罚法》第三十二条：当事人有下列情形之一，应当从轻或者减轻行政处罚：（一）主动消除或者减轻违法行为危害后果的</w:t>
            </w:r>
            <w:r>
              <w:rPr>
                <w:rStyle w:val="19"/>
                <w:rFonts w:hint="eastAsia" w:ascii="Times New Roman" w:hAnsi="Times New Roman" w:eastAsia="仿宋_GB2312" w:cs="Times New Roman"/>
                <w:b w:val="0"/>
                <w:i w:val="0"/>
                <w:caps w:val="0"/>
                <w:color w:val="auto"/>
                <w:spacing w:val="0"/>
                <w:w w:val="100"/>
                <w:kern w:val="0"/>
                <w:sz w:val="21"/>
                <w:szCs w:val="21"/>
                <w:highlight w:val="none"/>
                <w:lang w:val="en-US" w:eastAsia="zh-CN" w:bidi="ar-SA"/>
              </w:rPr>
              <w:t>；</w:t>
            </w:r>
            <w:r>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t>（二）受他人胁迫或者诱骗实施违法行为的；（三）主动供述行政机关尚未掌握的违法行为的</w:t>
            </w:r>
            <w:r>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t>;</w:t>
            </w:r>
            <w:r>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t>（四）配合行政机关查处违法行为有立功表现的；（五）法律、法规、规章规定其他应当从轻或者减轻行政处罚的。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9" w:hRule="atLeast"/>
          <w:tblHeader/>
        </w:trPr>
        <w:tc>
          <w:tcPr>
            <w:tcW w:w="878" w:type="dxa"/>
            <w:noWrap w:val="0"/>
            <w:tcMar>
              <w:top w:w="75" w:type="dxa"/>
              <w:left w:w="75" w:type="dxa"/>
              <w:bottom w:w="75" w:type="dxa"/>
              <w:right w:w="75" w:type="dxa"/>
            </w:tcMar>
            <w:vAlign w:val="center"/>
          </w:tcPr>
          <w:p>
            <w:pPr>
              <w:widowControl/>
              <w:snapToGrid/>
              <w:spacing w:before="0" w:beforeAutospacing="0" w:after="0" w:afterAutospacing="0" w:line="240" w:lineRule="atLeast"/>
              <w:jc w:val="center"/>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2</w:t>
            </w:r>
          </w:p>
        </w:tc>
        <w:tc>
          <w:tcPr>
            <w:tcW w:w="3146" w:type="dxa"/>
            <w:noWrap w:val="0"/>
            <w:tcMar>
              <w:top w:w="75" w:type="dxa"/>
              <w:left w:w="75" w:type="dxa"/>
              <w:bottom w:w="75" w:type="dxa"/>
              <w:right w:w="75" w:type="dxa"/>
            </w:tcMar>
            <w:vAlign w:val="center"/>
          </w:tcPr>
          <w:p>
            <w:pPr>
              <w:pStyle w:val="2"/>
              <w:numPr>
                <w:ilvl w:val="0"/>
                <w:numId w:val="0"/>
              </w:numPr>
              <w:ind w:left="0" w:leftChars="0" w:firstLine="0" w:firstLineChars="0"/>
              <w:rPr>
                <w:rFonts w:hint="default" w:ascii="Times New Roman" w:hAnsi="Times New Roman" w:eastAsia="仿宋_GB2312" w:cs="Times New Roman"/>
                <w:color w:val="auto"/>
                <w:kern w:val="2"/>
                <w:sz w:val="20"/>
                <w:szCs w:val="20"/>
                <w:highlight w:val="none"/>
                <w:lang w:val="en-US" w:eastAsia="zh-CN" w:bidi="ar-SA"/>
              </w:rPr>
            </w:pPr>
            <w:r>
              <w:rPr>
                <w:rFonts w:hint="default" w:ascii="Times New Roman" w:hAnsi="Times New Roman" w:eastAsia="仿宋_GB2312" w:cs="Times New Roman"/>
                <w:color w:val="auto"/>
                <w:sz w:val="20"/>
                <w:szCs w:val="20"/>
                <w:highlight w:val="none"/>
                <w:lang w:val="en-US" w:eastAsia="zh-CN"/>
              </w:rPr>
              <w:t>定点医药机构实施分解住院、挂床住院等违法行为</w:t>
            </w:r>
          </w:p>
        </w:tc>
        <w:tc>
          <w:tcPr>
            <w:tcW w:w="4146" w:type="dxa"/>
            <w:noWrap w:val="0"/>
            <w:tcMar>
              <w:top w:w="75" w:type="dxa"/>
              <w:left w:w="75" w:type="dxa"/>
              <w:bottom w:w="75" w:type="dxa"/>
              <w:right w:w="75" w:type="dxa"/>
            </w:tcMar>
            <w:vAlign w:val="center"/>
          </w:tcPr>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pPr>
            <w:r>
              <w:rPr>
                <w:rFonts w:hint="default" w:ascii="Times New Roman" w:hAnsi="Times New Roman" w:eastAsia="仿宋_GB2312" w:cs="Times New Roman"/>
                <w:color w:val="auto"/>
                <w:sz w:val="20"/>
                <w:szCs w:val="20"/>
                <w:highlight w:val="none"/>
                <w:lang w:val="en" w:eastAsia="zh-CN"/>
              </w:rPr>
              <w:t>具</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有下列情形之一：</w:t>
            </w:r>
          </w:p>
          <w:p>
            <w:pPr>
              <w:widowControl/>
              <w:numPr>
                <w:ilvl w:val="0"/>
                <w:numId w:val="1"/>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同时符合以下条件：</w:t>
            </w:r>
          </w:p>
          <w:p>
            <w:pPr>
              <w:widowControl/>
              <w:numPr>
                <w:ilvl w:val="0"/>
                <w:numId w:val="0"/>
              </w:numPr>
              <w:snapToGrid/>
              <w:spacing w:before="0" w:beforeAutospacing="0" w:after="0" w:afterAutospacing="0" w:line="240" w:lineRule="atLeast"/>
              <w:jc w:val="both"/>
              <w:textAlignment w:val="baseline"/>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sz w:val="20"/>
                <w:szCs w:val="20"/>
                <w:highlight w:val="none"/>
                <w:lang w:val="en-US" w:eastAsia="zh-CN"/>
              </w:rPr>
              <w:t>（1）不符合该类违法行为不予处罚适用条件</w:t>
            </w:r>
            <w:r>
              <w:rPr>
                <w:rFonts w:hint="eastAsia" w:ascii="Times New Roman" w:hAnsi="Times New Roman" w:eastAsia="仿宋_GB2312" w:cs="Times New Roman"/>
                <w:color w:val="auto"/>
                <w:sz w:val="20"/>
                <w:szCs w:val="20"/>
                <w:highlight w:val="none"/>
                <w:lang w:val="en-US" w:eastAsia="zh-CN"/>
              </w:rPr>
              <w:t>；</w:t>
            </w:r>
          </w:p>
          <w:p>
            <w:pPr>
              <w:widowControl/>
              <w:numPr>
                <w:ilvl w:val="0"/>
                <w:numId w:val="0"/>
              </w:numPr>
              <w:snapToGrid/>
              <w:spacing w:before="0" w:beforeAutospacing="0" w:after="0" w:afterAutospacing="0" w:line="240" w:lineRule="atLeast"/>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（2）及时改正违法行为，主动消除或者减轻基金使用违法行为危害后果</w:t>
            </w:r>
            <w:r>
              <w:rPr>
                <w:rStyle w:val="19"/>
                <w:rFonts w:hint="eastAsia" w:ascii="Times New Roman" w:hAnsi="Times New Roman" w:eastAsia="仿宋_GB2312" w:cs="Times New Roman"/>
                <w:b w:val="0"/>
                <w:i w:val="0"/>
                <w:caps w:val="0"/>
                <w:color w:val="auto"/>
                <w:spacing w:val="0"/>
                <w:w w:val="100"/>
                <w:kern w:val="0"/>
                <w:sz w:val="20"/>
                <w:szCs w:val="20"/>
                <w:highlight w:val="none"/>
                <w:lang w:val="en-US" w:eastAsia="zh-CN" w:bidi="ar-SA"/>
              </w:rPr>
              <w:t>；</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2.受他人胁迫或者诱骗实施</w:t>
            </w:r>
            <w:r>
              <w:rPr>
                <w:rStyle w:val="19"/>
                <w:rFonts w:hint="eastAsia" w:ascii="Times New Roman" w:hAnsi="Times New Roman" w:eastAsia="仿宋_GB2312" w:cs="Times New Roman"/>
                <w:b w:val="0"/>
                <w:i w:val="0"/>
                <w:caps w:val="0"/>
                <w:color w:val="auto"/>
                <w:spacing w:val="0"/>
                <w:w w:val="100"/>
                <w:kern w:val="0"/>
                <w:sz w:val="20"/>
                <w:szCs w:val="20"/>
                <w:highlight w:val="none"/>
                <w:lang w:val="en-US" w:eastAsia="zh-CN" w:bidi="ar-SA"/>
              </w:rPr>
              <w:t>；</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3.</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主动供述医疗保障行政部门尚未掌握的违反医疗保障相关法律规范的行为的关键线索或证据，并经查证属实</w:t>
            </w:r>
            <w:r>
              <w:rPr>
                <w:rStyle w:val="19"/>
                <w:rFonts w:hint="eastAsia" w:ascii="Times New Roman" w:hAnsi="Times New Roman" w:eastAsia="仿宋_GB2312" w:cs="Times New Roman"/>
                <w:b w:val="0"/>
                <w:i w:val="0"/>
                <w:caps w:val="0"/>
                <w:color w:val="auto"/>
                <w:spacing w:val="0"/>
                <w:w w:val="100"/>
                <w:kern w:val="0"/>
                <w:sz w:val="20"/>
                <w:szCs w:val="20"/>
                <w:highlight w:val="none"/>
                <w:lang w:val="en-US" w:eastAsia="zh-CN" w:bidi="ar-SA"/>
              </w:rPr>
              <w:t>；</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4.</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配合医疗保障行政部门查处违法行为有立功表现</w:t>
            </w:r>
          </w:p>
          <w:p>
            <w:pPr>
              <w:widowControl/>
              <w:numPr>
                <w:ilvl w:val="0"/>
                <w:numId w:val="0"/>
              </w:numPr>
              <w:snapToGrid/>
              <w:spacing w:before="0" w:beforeAutospacing="0" w:after="0" w:afterAutospacing="0" w:line="240" w:lineRule="atLeast"/>
              <w:ind w:left="0" w:leftChars="0" w:firstLine="0" w:firstLineChars="0"/>
              <w:jc w:val="both"/>
              <w:textAlignment w:val="baseline"/>
              <w:rPr>
                <w:rFonts w:hint="default" w:ascii="Times New Roman" w:hAnsi="Times New Roman" w:eastAsia="仿宋_GB2312" w:cs="Times New Roman"/>
                <w:color w:val="auto"/>
                <w:kern w:val="2"/>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5.</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法律、法规、规章规定其他应当从轻或者减轻行政处罚</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rPr>
              <w:t>的情形。</w:t>
            </w:r>
          </w:p>
        </w:tc>
        <w:tc>
          <w:tcPr>
            <w:tcW w:w="6020" w:type="dxa"/>
            <w:noWrap w:val="0"/>
            <w:tcMar>
              <w:top w:w="75" w:type="dxa"/>
              <w:left w:w="75" w:type="dxa"/>
              <w:bottom w:w="75" w:type="dxa"/>
              <w:right w:w="75" w:type="dxa"/>
            </w:tcMar>
            <w:vAlign w:val="center"/>
          </w:tcPr>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中华人民共和国行政处罚法》第三十二条：当事人有下列情形之一，应当从轻或者减轻行政处罚：（一）主动消除或者减轻违法行为危害后果的；（二）受他人胁迫或者诱骗实施违法行为的；（三）主动供述行政机关尚未掌握的违法行为的</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（四）配合行政机关查处违法行为有立功表现的；（五）法律、法规、规章规定其他应当从轻或者减轻行政处罚的。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1" w:hRule="atLeast"/>
          <w:tblHeader/>
        </w:trPr>
        <w:tc>
          <w:tcPr>
            <w:tcW w:w="878" w:type="dxa"/>
            <w:noWrap w:val="0"/>
            <w:tcMar>
              <w:top w:w="75" w:type="dxa"/>
              <w:left w:w="75" w:type="dxa"/>
              <w:bottom w:w="75" w:type="dxa"/>
              <w:right w:w="75" w:type="dxa"/>
            </w:tcMar>
            <w:vAlign w:val="center"/>
          </w:tcPr>
          <w:p>
            <w:pPr>
              <w:widowControl/>
              <w:snapToGrid/>
              <w:spacing w:before="0" w:beforeAutospacing="0" w:after="0" w:afterAutospacing="0" w:line="240" w:lineRule="atLeast"/>
              <w:jc w:val="center"/>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3</w:t>
            </w:r>
          </w:p>
        </w:tc>
        <w:tc>
          <w:tcPr>
            <w:tcW w:w="3146" w:type="dxa"/>
            <w:noWrap w:val="0"/>
            <w:tcMar>
              <w:top w:w="75" w:type="dxa"/>
              <w:left w:w="75" w:type="dxa"/>
              <w:bottom w:w="75" w:type="dxa"/>
              <w:right w:w="75" w:type="dxa"/>
            </w:tcMar>
            <w:vAlign w:val="center"/>
          </w:tcPr>
          <w:p>
            <w:pPr>
              <w:pStyle w:val="2"/>
              <w:numPr>
                <w:ilvl w:val="0"/>
                <w:numId w:val="0"/>
              </w:numPr>
              <w:ind w:left="0" w:leftChars="0" w:firstLine="0" w:firstLineChars="0"/>
              <w:jc w:val="both"/>
              <w:rPr>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rPr>
              <w:t>定点医药</w:t>
            </w:r>
            <w:r>
              <w:rPr>
                <w:rStyle w:val="19"/>
                <w:rFonts w:hint="eastAsia" w:ascii="Times New Roman" w:hAnsi="Times New Roman" w:cs="Times New Roman"/>
                <w:b w:val="0"/>
                <w:bCs w:val="0"/>
                <w:i w:val="0"/>
                <w:caps w:val="0"/>
                <w:color w:val="auto"/>
                <w:spacing w:val="0"/>
                <w:w w:val="100"/>
                <w:kern w:val="0"/>
                <w:sz w:val="20"/>
                <w:szCs w:val="20"/>
                <w:highlight w:val="none"/>
                <w:lang w:val="en-US" w:eastAsia="zh-CN"/>
              </w:rPr>
              <w:t>机构</w:t>
            </w:r>
            <w:r>
              <w:rPr>
                <w:rStyle w:val="19"/>
                <w:rFonts w:hint="default" w:ascii="Times New Roman" w:hAnsi="Times New Roman" w:eastAsia="仿宋_GB2312" w:cs="Times New Roman"/>
                <w:b w:val="0"/>
                <w:bCs w:val="0"/>
                <w:i w:val="0"/>
                <w:caps w:val="0"/>
                <w:color w:val="auto"/>
                <w:spacing w:val="0"/>
                <w:w w:val="100"/>
                <w:kern w:val="0"/>
                <w:sz w:val="20"/>
                <w:szCs w:val="20"/>
                <w:highlight w:val="none"/>
                <w:lang w:val="en-US" w:eastAsia="zh-CN"/>
              </w:rPr>
              <w:t>存在未建立医疗保障基金使用内部管理制度，或者没有专门机构或者人员负责医疗保障基金使用管理工作等情形</w:t>
            </w:r>
          </w:p>
        </w:tc>
        <w:tc>
          <w:tcPr>
            <w:tcW w:w="4146" w:type="dxa"/>
            <w:noWrap w:val="0"/>
            <w:tcMar>
              <w:top w:w="75" w:type="dxa"/>
              <w:left w:w="75" w:type="dxa"/>
              <w:bottom w:w="75" w:type="dxa"/>
              <w:right w:w="75" w:type="dxa"/>
            </w:tcMar>
            <w:vAlign w:val="center"/>
          </w:tcPr>
          <w:p>
            <w:pPr>
              <w:pStyle w:val="2"/>
              <w:ind w:left="0" w:leftChars="0" w:firstLine="0" w:firstLineChars="0"/>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rPr>
              <w:t>具有下列情形之一：</w:t>
            </w:r>
          </w:p>
          <w:p>
            <w:pPr>
              <w:pStyle w:val="2"/>
              <w:ind w:left="0" w:leftChars="0" w:firstLine="0" w:firstLineChars="0"/>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rPr>
              <w:t>1.存在《医疗保障基金使用监督管理条例》</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rPr>
              <w:t>第三十九条规定情形中，有且只有一项</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rPr>
              <w:t>经责令改正后</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rPr>
              <w:t>拒不改正</w:t>
            </w:r>
            <w:r>
              <w:rPr>
                <w:rStyle w:val="19"/>
                <w:rFonts w:hint="eastAsia" w:ascii="Times New Roman" w:hAnsi="Times New Roman" w:cs="Times New Roman"/>
                <w:b w:val="0"/>
                <w:i w:val="0"/>
                <w:caps w:val="0"/>
                <w:color w:val="auto"/>
                <w:spacing w:val="0"/>
                <w:w w:val="100"/>
                <w:kern w:val="0"/>
                <w:sz w:val="20"/>
                <w:szCs w:val="20"/>
                <w:highlight w:val="none"/>
                <w:lang w:val="en-US" w:eastAsia="zh-CN"/>
              </w:rPr>
              <w:t>；</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rPr>
              <w:t>2.</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主动消除或者减轻相应危害后果</w:t>
            </w:r>
            <w:r>
              <w:rPr>
                <w:rStyle w:val="19"/>
                <w:rFonts w:hint="eastAsia" w:ascii="Times New Roman" w:hAnsi="Times New Roman" w:eastAsia="仿宋_GB2312" w:cs="Times New Roman"/>
                <w:b w:val="0"/>
                <w:i w:val="0"/>
                <w:caps w:val="0"/>
                <w:color w:val="auto"/>
                <w:spacing w:val="0"/>
                <w:w w:val="100"/>
                <w:kern w:val="0"/>
                <w:sz w:val="20"/>
                <w:szCs w:val="20"/>
                <w:highlight w:val="none"/>
                <w:lang w:val="en-US" w:eastAsia="zh-CN" w:bidi="ar-SA"/>
              </w:rPr>
              <w:t>；</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3.</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主动供述医疗保障行政机关尚未掌握的违反医疗保障相关法律规范的行为的关键线索或证据，并经查证属实</w:t>
            </w:r>
            <w:r>
              <w:rPr>
                <w:rStyle w:val="19"/>
                <w:rFonts w:hint="eastAsia" w:ascii="Times New Roman" w:hAnsi="Times New Roman" w:eastAsia="仿宋_GB2312" w:cs="Times New Roman"/>
                <w:b w:val="0"/>
                <w:i w:val="0"/>
                <w:caps w:val="0"/>
                <w:color w:val="auto"/>
                <w:spacing w:val="0"/>
                <w:w w:val="100"/>
                <w:kern w:val="0"/>
                <w:sz w:val="20"/>
                <w:szCs w:val="20"/>
                <w:highlight w:val="none"/>
                <w:lang w:val="en-US" w:eastAsia="zh-CN" w:bidi="ar-SA"/>
              </w:rPr>
              <w:t>；</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4.</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配合医疗保障行政部门查处违法行为有立功表现</w:t>
            </w:r>
            <w:r>
              <w:rPr>
                <w:rStyle w:val="19"/>
                <w:rFonts w:hint="eastAsia" w:ascii="Times New Roman" w:hAnsi="Times New Roman" w:eastAsia="仿宋_GB2312" w:cs="Times New Roman"/>
                <w:b w:val="0"/>
                <w:i w:val="0"/>
                <w:caps w:val="0"/>
                <w:color w:val="auto"/>
                <w:spacing w:val="0"/>
                <w:w w:val="100"/>
                <w:kern w:val="0"/>
                <w:sz w:val="20"/>
                <w:szCs w:val="20"/>
                <w:highlight w:val="none"/>
                <w:lang w:val="en-US" w:eastAsia="zh-CN" w:bidi="ar-SA"/>
              </w:rPr>
              <w:t>；</w:t>
            </w:r>
          </w:p>
          <w:p>
            <w:pPr>
              <w:pStyle w:val="2"/>
              <w:ind w:left="0" w:leftChars="0" w:firstLine="0" w:firstLineChars="0"/>
              <w:rPr>
                <w:rFonts w:hint="default" w:ascii="Times New Roman" w:hAnsi="Times New Roman" w:eastAsia="仿宋_GB2312" w:cs="Times New Roman"/>
                <w:b w:val="0"/>
                <w:i w:val="0"/>
                <w:caps w:val="0"/>
                <w:color w:val="auto"/>
                <w:spacing w:val="0"/>
                <w:w w:val="100"/>
                <w:kern w:val="0"/>
                <w:sz w:val="20"/>
                <w:szCs w:val="20"/>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5.</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法律、法规、规章规</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rPr>
              <w:t>定其他应当从轻或者减轻行政处罚的情形</w:t>
            </w:r>
            <w:r>
              <w:rPr>
                <w:rStyle w:val="19"/>
                <w:rFonts w:hint="default" w:ascii="Times New Roman" w:hAnsi="Times New Roman" w:cs="Times New Roman"/>
                <w:b w:val="0"/>
                <w:i w:val="0"/>
                <w:caps w:val="0"/>
                <w:color w:val="auto"/>
                <w:spacing w:val="0"/>
                <w:w w:val="100"/>
                <w:kern w:val="0"/>
                <w:sz w:val="20"/>
                <w:szCs w:val="20"/>
                <w:highlight w:val="none"/>
                <w:lang w:val="en-US" w:eastAsia="zh-CN"/>
              </w:rPr>
              <w:t>。</w:t>
            </w:r>
          </w:p>
        </w:tc>
        <w:tc>
          <w:tcPr>
            <w:tcW w:w="6020" w:type="dxa"/>
            <w:noWrap w:val="0"/>
            <w:tcMar>
              <w:top w:w="75" w:type="dxa"/>
              <w:left w:w="75" w:type="dxa"/>
              <w:bottom w:w="75" w:type="dxa"/>
              <w:right w:w="75" w:type="dxa"/>
            </w:tcMar>
            <w:vAlign w:val="center"/>
          </w:tcPr>
          <w:p>
            <w:pPr>
              <w:widowControl/>
              <w:snapToGrid/>
              <w:spacing w:before="0" w:beforeAutospacing="0" w:after="0" w:afterAutospacing="0" w:line="240" w:lineRule="atLeast"/>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1.</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中华人民共和国行政处罚法》第三十二条：当事人有下列情形之一，应当从轻或者减轻行政处罚：（一）主动消除或者减轻违法行为危害后果的；（二）受他人胁迫或者诱骗实施违法行为的；（三）主动供述行政机关尚未掌握的违法行为的</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（四）配合行政机关查处违法行为有立功表现的；（五）法律、法规、规章规定其他应当从轻或者减轻行政处罚的。</w:t>
            </w:r>
          </w:p>
          <w:p>
            <w:pPr>
              <w:widowControl/>
              <w:snapToGrid/>
              <w:spacing w:before="0" w:beforeAutospacing="0" w:after="0" w:afterAutospacing="0" w:line="240" w:lineRule="atLeast"/>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2</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.《医疗保障基金使用监督管理条例》</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第三十九条</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定点医药机构有下列情形之一的，由医疗保障行政部门责令改正，并可以约谈有关负责人；拒不改正的，处1万元以上5万元以下的罚款</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w:t>
            </w:r>
          </w:p>
          <w:p>
            <w:pPr>
              <w:widowControl/>
              <w:snapToGrid/>
              <w:spacing w:before="0" w:beforeAutospacing="0" w:after="0" w:afterAutospacing="0" w:line="240" w:lineRule="atLeast"/>
              <w:jc w:val="both"/>
              <w:textAlignment w:val="baseline"/>
              <w:rPr>
                <w:rFonts w:hint="default" w:ascii="Times New Roman" w:hAnsi="Times New Roman" w:eastAsia="仿宋_GB2312" w:cs="Times New Roman"/>
                <w:color w:val="auto"/>
                <w:sz w:val="20"/>
                <w:szCs w:val="20"/>
                <w:highlight w:val="none"/>
                <w:lang w:val="en-US" w:eastAsia="zh-CN"/>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3.</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四川省医疗保障局《关于印发</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四川省医疗保障基金监管行政处罚裁量基准</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的通知》第十八条：违法行为符合《基金监管条例》第三十九条规定情形且拒不改正的，仅具有一项情形，作为从轻情节；同时具有3项以上情形，作为从重情节；并按照以下裁量基准确定罚款数额</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0" w:hRule="atLeast"/>
          <w:tblHeader/>
        </w:trPr>
        <w:tc>
          <w:tcPr>
            <w:tcW w:w="878" w:type="dxa"/>
            <w:noWrap w:val="0"/>
            <w:tcMar>
              <w:top w:w="75" w:type="dxa"/>
              <w:left w:w="75" w:type="dxa"/>
              <w:bottom w:w="75" w:type="dxa"/>
              <w:right w:w="75" w:type="dxa"/>
            </w:tcMar>
            <w:vAlign w:val="center"/>
          </w:tcPr>
          <w:p>
            <w:pPr>
              <w:widowControl/>
              <w:snapToGrid/>
              <w:spacing w:before="0" w:beforeAutospacing="0" w:after="0" w:afterAutospacing="0" w:line="240" w:lineRule="atLeast"/>
              <w:jc w:val="center"/>
              <w:textAlignment w:val="baseline"/>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t>4</w:t>
            </w:r>
          </w:p>
        </w:tc>
        <w:tc>
          <w:tcPr>
            <w:tcW w:w="3146" w:type="dxa"/>
            <w:noWrap w:val="0"/>
            <w:tcMar>
              <w:top w:w="75" w:type="dxa"/>
              <w:left w:w="75" w:type="dxa"/>
              <w:bottom w:w="75" w:type="dxa"/>
              <w:right w:w="75" w:type="dxa"/>
            </w:tcMar>
            <w:vAlign w:val="center"/>
          </w:tcPr>
          <w:p>
            <w:pPr>
              <w:widowControl/>
              <w:snapToGrid/>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医疗保障基金使用违法行为</w:t>
            </w:r>
          </w:p>
        </w:tc>
        <w:tc>
          <w:tcPr>
            <w:tcW w:w="4146" w:type="dxa"/>
            <w:noWrap w:val="0"/>
            <w:tcMar>
              <w:top w:w="75" w:type="dxa"/>
              <w:left w:w="75" w:type="dxa"/>
              <w:bottom w:w="75" w:type="dxa"/>
              <w:right w:w="75" w:type="dxa"/>
            </w:tcMar>
            <w:vAlign w:val="center"/>
          </w:tcPr>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下列情形作为从轻情节考量：</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t>1.</w:t>
            </w: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积极配合医疗保障行政部门查处违法行为、如实陈述违法事实并主动提供证据材料；</w:t>
            </w:r>
          </w:p>
          <w:p>
            <w:pPr>
              <w:widowControl/>
              <w:snapToGrid/>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kern w:val="0"/>
                <w:sz w:val="22"/>
                <w:szCs w:val="22"/>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t>2.</w:t>
            </w: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主动投案向医疗保障行政部门如实交代违法行为。</w:t>
            </w:r>
          </w:p>
        </w:tc>
        <w:tc>
          <w:tcPr>
            <w:tcW w:w="6020" w:type="dxa"/>
            <w:noWrap w:val="0"/>
            <w:tcMar>
              <w:top w:w="75" w:type="dxa"/>
              <w:left w:w="75" w:type="dxa"/>
              <w:bottom w:w="75" w:type="dxa"/>
              <w:right w:w="75" w:type="dxa"/>
            </w:tcMar>
            <w:vAlign w:val="center"/>
          </w:tcPr>
          <w:p>
            <w:pPr>
              <w:widowControl/>
              <w:snapToGrid/>
              <w:spacing w:before="0" w:beforeAutospacing="0" w:after="0" w:afterAutospacing="0" w:line="240" w:lineRule="atLeast"/>
              <w:jc w:val="both"/>
              <w:textAlignment w:val="baseline"/>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t>1.国家医疗保障局《</w:t>
            </w: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规范医疗保障基金使用监督管理行政处罚裁量权办法》第十四条：</w:t>
            </w:r>
            <w:r>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t>……</w:t>
            </w: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从轻或减轻处罚：</w:t>
            </w:r>
            <w:r>
              <w:rPr>
                <w:rStyle w:val="19"/>
                <w:rFonts w:hint="eastAsia" w:ascii="Times New Roman" w:hAnsi="Times New Roman" w:eastAsia="仿宋_GB2312" w:cs="Times New Roman"/>
                <w:b w:val="0"/>
                <w:i w:val="0"/>
                <w:caps w:val="0"/>
                <w:color w:val="auto"/>
                <w:spacing w:val="0"/>
                <w:w w:val="100"/>
                <w:kern w:val="0"/>
                <w:sz w:val="22"/>
                <w:szCs w:val="22"/>
                <w:highlight w:val="none"/>
                <w:lang w:val="en-US" w:eastAsia="zh-CN" w:bidi="ar-SA"/>
              </w:rPr>
              <w:t>（五）</w:t>
            </w: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积极配合行政机关查处违法行为、如实陈述违法事实并主动提供证据材料的</w:t>
            </w:r>
            <w:r>
              <w:rPr>
                <w:rStyle w:val="19"/>
                <w:rFonts w:hint="eastAsia" w:ascii="Times New Roman" w:hAnsi="Times New Roman" w:eastAsia="仿宋_GB2312" w:cs="Times New Roman"/>
                <w:b w:val="0"/>
                <w:i w:val="0"/>
                <w:caps w:val="0"/>
                <w:color w:val="auto"/>
                <w:spacing w:val="0"/>
                <w:w w:val="100"/>
                <w:kern w:val="0"/>
                <w:sz w:val="22"/>
                <w:szCs w:val="22"/>
                <w:highlight w:val="none"/>
                <w:lang w:val="en-US" w:eastAsia="zh-CN" w:bidi="ar-SA"/>
              </w:rPr>
              <w:t>；</w:t>
            </w: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（六）主动投案向行政机关如实交代违法行为的。</w:t>
            </w:r>
          </w:p>
          <w:p>
            <w:pPr>
              <w:widowControl/>
              <w:numPr>
                <w:ilvl w:val="0"/>
                <w:numId w:val="0"/>
              </w:numPr>
              <w:snapToGrid/>
              <w:spacing w:before="0" w:beforeAutospacing="0" w:after="0" w:afterAutospacing="0" w:line="240" w:lineRule="atLeast"/>
              <w:ind w:left="0" w:leftChars="0" w:firstLine="0" w:firstLineChars="0"/>
              <w:jc w:val="both"/>
              <w:textAlignment w:val="baseline"/>
              <w:rPr>
                <w:rFonts w:hint="default" w:ascii="Times New Roman" w:hAnsi="Times New Roman" w:eastAsia="仿宋_GB2312" w:cs="Times New Roman"/>
                <w:b w:val="0"/>
                <w:i w:val="0"/>
                <w:caps w:val="0"/>
                <w:color w:val="auto"/>
                <w:spacing w:val="0"/>
                <w:w w:val="100"/>
                <w:kern w:val="0"/>
                <w:sz w:val="22"/>
                <w:szCs w:val="22"/>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t>2.</w:t>
            </w: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四川省医疗保障局《关于印发</w:t>
            </w:r>
            <w:r>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t>〈</w:t>
            </w: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四川省医疗保障基金监管行政处罚裁量基准</w:t>
            </w:r>
            <w:r>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t>〉</w:t>
            </w: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的通知》第十二条：下列情形，裁量时应当作为从轻情节。（一）积极配合行政机关查处违法行为、如实陈述违法事实并主动提供证据材料的；（二）主动投案向行政机关如实交代违法行为的。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1" w:hRule="atLeast"/>
          <w:tblHeader/>
        </w:trPr>
        <w:tc>
          <w:tcPr>
            <w:tcW w:w="878" w:type="dxa"/>
            <w:noWrap w:val="0"/>
            <w:tcMar>
              <w:top w:w="75" w:type="dxa"/>
              <w:left w:w="75" w:type="dxa"/>
              <w:bottom w:w="75" w:type="dxa"/>
              <w:right w:w="75" w:type="dxa"/>
            </w:tcMar>
            <w:vAlign w:val="center"/>
          </w:tcPr>
          <w:p>
            <w:pPr>
              <w:widowControl/>
              <w:snapToGrid/>
              <w:spacing w:before="0" w:beforeAutospacing="0" w:after="0" w:afterAutospacing="0" w:line="240" w:lineRule="atLeast"/>
              <w:jc w:val="center"/>
              <w:textAlignment w:val="baseline"/>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t>5</w:t>
            </w:r>
          </w:p>
        </w:tc>
        <w:tc>
          <w:tcPr>
            <w:tcW w:w="3146" w:type="dxa"/>
            <w:noWrap w:val="0"/>
            <w:tcMar>
              <w:top w:w="75" w:type="dxa"/>
              <w:left w:w="75" w:type="dxa"/>
              <w:bottom w:w="75" w:type="dxa"/>
              <w:right w:w="75" w:type="dxa"/>
            </w:tcMar>
            <w:vAlign w:val="center"/>
          </w:tcPr>
          <w:p>
            <w:pPr>
              <w:widowControl/>
              <w:snapToGrid/>
              <w:spacing w:before="0" w:beforeAutospacing="0" w:after="0" w:afterAutospacing="0" w:line="240" w:lineRule="atLeast"/>
              <w:jc w:val="both"/>
              <w:textAlignment w:val="baseline"/>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参加药品采购投标的投标人以低于成本的报价竞标，或者以欺诈、串通投标、滥用市场支配地位等方式竞标</w:t>
            </w:r>
          </w:p>
        </w:tc>
        <w:tc>
          <w:tcPr>
            <w:tcW w:w="4146" w:type="dxa"/>
            <w:noWrap w:val="0"/>
            <w:tcMar>
              <w:top w:w="75" w:type="dxa"/>
              <w:left w:w="75" w:type="dxa"/>
              <w:bottom w:w="75" w:type="dxa"/>
              <w:right w:w="75" w:type="dxa"/>
            </w:tcMar>
            <w:vAlign w:val="center"/>
          </w:tcPr>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t>具有下列情形之一：</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t>1.</w:t>
            </w: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主动消除或者减轻违法行为危害后果；</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t>2.</w:t>
            </w: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受他人胁迫或者诱骗实施；</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t>3.</w:t>
            </w: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主动供述医疗保障行政机关尚未掌握的违反医疗保障相关法律规范的行为的关键线索或证据，并经查证属实；</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t>4.</w:t>
            </w: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配合医疗保障行政部门查处违法行为有立功表现；</w:t>
            </w:r>
          </w:p>
          <w:p>
            <w:pPr>
              <w:widowControl/>
              <w:snapToGrid/>
              <w:spacing w:before="0" w:beforeAutospacing="0" w:after="0" w:afterAutospacing="0" w:line="240" w:lineRule="atLeast"/>
              <w:jc w:val="both"/>
              <w:textAlignment w:val="baseline"/>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t>5.</w:t>
            </w: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法律、法规、规章规定其他应当从轻或者减轻行政处罚</w:t>
            </w: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rPr>
              <w:t>的情形。</w:t>
            </w:r>
          </w:p>
        </w:tc>
        <w:tc>
          <w:tcPr>
            <w:tcW w:w="6020" w:type="dxa"/>
            <w:noWrap w:val="0"/>
            <w:tcMar>
              <w:top w:w="75" w:type="dxa"/>
              <w:left w:w="75" w:type="dxa"/>
              <w:bottom w:w="75" w:type="dxa"/>
              <w:right w:w="75" w:type="dxa"/>
            </w:tcMar>
            <w:vAlign w:val="center"/>
          </w:tcPr>
          <w:p>
            <w:pPr>
              <w:widowControl/>
              <w:snapToGrid/>
              <w:spacing w:before="0" w:beforeAutospacing="0" w:after="0" w:afterAutospacing="0" w:line="240" w:lineRule="atLeast"/>
              <w:jc w:val="both"/>
              <w:textAlignment w:val="baseline"/>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《中华人民共和国行政处罚法》第三十二条：当事人有下列情形之一，应当从轻或者减轻行政处罚：（一）主动消除或者减轻违法行为危害后果的；（二）受他人胁迫或者诱骗实施违法行为的</w:t>
            </w:r>
            <w:r>
              <w:rPr>
                <w:rStyle w:val="19"/>
                <w:rFonts w:hint="eastAsia" w:ascii="Times New Roman" w:hAnsi="Times New Roman" w:eastAsia="仿宋_GB2312" w:cs="Times New Roman"/>
                <w:b w:val="0"/>
                <w:i w:val="0"/>
                <w:caps w:val="0"/>
                <w:color w:val="auto"/>
                <w:spacing w:val="0"/>
                <w:w w:val="100"/>
                <w:kern w:val="0"/>
                <w:sz w:val="22"/>
                <w:szCs w:val="22"/>
                <w:highlight w:val="none"/>
                <w:lang w:val="en-US" w:eastAsia="zh-CN" w:bidi="ar-SA"/>
              </w:rPr>
              <w:t>；</w:t>
            </w: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（三）主动供述行政机关尚未掌握的违法行为的</w:t>
            </w:r>
            <w:r>
              <w:rPr>
                <w:rStyle w:val="19"/>
                <w:rFonts w:hint="eastAsia" w:ascii="Times New Roman" w:hAnsi="Times New Roman" w:eastAsia="仿宋_GB2312" w:cs="Times New Roman"/>
                <w:b w:val="0"/>
                <w:i w:val="0"/>
                <w:caps w:val="0"/>
                <w:color w:val="auto"/>
                <w:spacing w:val="0"/>
                <w:w w:val="100"/>
                <w:kern w:val="0"/>
                <w:sz w:val="22"/>
                <w:szCs w:val="22"/>
                <w:highlight w:val="none"/>
                <w:lang w:val="en-US" w:eastAsia="zh-CN" w:bidi="ar-SA"/>
              </w:rPr>
              <w:t>；</w:t>
            </w: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（四）配合行政机关查处违法行为有立功表现的；（五）法律、法规、规章规定其他应当从轻或者减轻行政处罚的。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8" w:hRule="atLeast"/>
          <w:tblHeader/>
        </w:trPr>
        <w:tc>
          <w:tcPr>
            <w:tcW w:w="878" w:type="dxa"/>
            <w:noWrap w:val="0"/>
            <w:tcMar>
              <w:top w:w="75" w:type="dxa"/>
              <w:left w:w="75" w:type="dxa"/>
              <w:bottom w:w="75" w:type="dxa"/>
              <w:right w:w="75" w:type="dxa"/>
            </w:tcMar>
            <w:vAlign w:val="center"/>
          </w:tcPr>
          <w:p>
            <w:pPr>
              <w:widowControl/>
              <w:snapToGrid/>
              <w:spacing w:before="0" w:beforeAutospacing="0" w:after="0" w:afterAutospacing="0" w:line="240" w:lineRule="atLeast"/>
              <w:jc w:val="center"/>
              <w:textAlignment w:val="baseline"/>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t>6</w:t>
            </w:r>
          </w:p>
        </w:tc>
        <w:tc>
          <w:tcPr>
            <w:tcW w:w="3146" w:type="dxa"/>
            <w:noWrap w:val="0"/>
            <w:tcMar>
              <w:top w:w="75" w:type="dxa"/>
              <w:left w:w="75" w:type="dxa"/>
              <w:bottom w:w="75" w:type="dxa"/>
              <w:right w:w="75" w:type="dxa"/>
            </w:tcMar>
            <w:vAlign w:val="center"/>
          </w:tcPr>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缴费单位有下列情形之一：</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t>1.</w:t>
            </w: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未按照规定办理社会保险登记、变更登记或者注销登记</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t>2.</w:t>
            </w: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未按规定从缴费个人工资中代扣代缴社会保险费或者未按规定向职工公布本单位社会保险费缴纳情况</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t>3.</w:t>
            </w: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伪造、变造、故意毁灭社会保险缴费等财务账册、材料，或者不设账册，致使社会保险费基数无法确定</w:t>
            </w:r>
          </w:p>
          <w:p>
            <w:pPr>
              <w:widowControl/>
              <w:snapToGrid/>
              <w:spacing w:before="0" w:beforeAutospacing="0" w:after="0" w:afterAutospacing="0" w:line="240" w:lineRule="atLeast"/>
              <w:jc w:val="both"/>
              <w:textAlignment w:val="baseline"/>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t>4.</w:t>
            </w: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未按时足额缴纳社会保险费</w:t>
            </w:r>
          </w:p>
        </w:tc>
        <w:tc>
          <w:tcPr>
            <w:tcW w:w="4146" w:type="dxa"/>
            <w:noWrap w:val="0"/>
            <w:tcMar>
              <w:top w:w="75" w:type="dxa"/>
              <w:left w:w="75" w:type="dxa"/>
              <w:bottom w:w="75" w:type="dxa"/>
              <w:right w:w="75" w:type="dxa"/>
            </w:tcMar>
            <w:vAlign w:val="center"/>
          </w:tcPr>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t>具有下列情形之一：</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t>1.</w:t>
            </w: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主动消除或者减轻违法行为危害后果；</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t>2.</w:t>
            </w: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受他人胁迫或者诱骗实施；</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t>3.</w:t>
            </w: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主动供述医疗保障行政机关尚未掌握的违反医疗保障相关法律规范的行为的关键线索或证据，并经查证属实；</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t>4.</w:t>
            </w: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配合医疗保障行政部门查处违法行为有立功表现；</w:t>
            </w:r>
          </w:p>
          <w:p>
            <w:pPr>
              <w:widowControl/>
              <w:snapToGrid/>
              <w:spacing w:before="0" w:beforeAutospacing="0" w:after="0" w:afterAutospacing="0" w:line="240" w:lineRule="atLeast"/>
              <w:jc w:val="both"/>
              <w:textAlignment w:val="baseline"/>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t>5.</w:t>
            </w: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法律、法规、规章规定其他应当从轻或者减轻行政处罚</w:t>
            </w: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rPr>
              <w:t>的情形。</w:t>
            </w:r>
          </w:p>
        </w:tc>
        <w:tc>
          <w:tcPr>
            <w:tcW w:w="6020" w:type="dxa"/>
            <w:noWrap w:val="0"/>
            <w:tcMar>
              <w:top w:w="75" w:type="dxa"/>
              <w:left w:w="75" w:type="dxa"/>
              <w:bottom w:w="75" w:type="dxa"/>
              <w:right w:w="75" w:type="dxa"/>
            </w:tcMar>
            <w:vAlign w:val="center"/>
          </w:tcPr>
          <w:p>
            <w:pPr>
              <w:widowControl/>
              <w:snapToGrid/>
              <w:spacing w:before="0" w:beforeAutospacing="0" w:after="0" w:afterAutospacing="0" w:line="240" w:lineRule="atLeast"/>
              <w:jc w:val="both"/>
              <w:textAlignment w:val="baseline"/>
              <w:rPr>
                <w:rFonts w:hint="default" w:ascii="Times New Roman" w:hAnsi="Times New Roman" w:eastAsia="仿宋_GB2312" w:cs="Times New Roman"/>
                <w:color w:val="auto"/>
                <w:sz w:val="22"/>
                <w:szCs w:val="22"/>
                <w:highlight w:val="none"/>
                <w:lang w:val="en-US" w:eastAsia="zh-CN"/>
              </w:rPr>
            </w:pP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中华人民共和国行政处罚法》第三十二条：当事人有下列情形之一，应当从轻或者减轻行政处罚：（一）主动消除或者减轻违法行为危害后果的；（二）受他人胁迫或者诱骗实施违法行为的；（三）主动供述行政机关尚未掌握的违法行为的</w:t>
            </w:r>
            <w:r>
              <w:rPr>
                <w:rStyle w:val="19"/>
                <w:rFonts w:hint="default" w:ascii="Times New Roman" w:hAnsi="Times New Roman" w:eastAsia="仿宋_GB2312" w:cs="Times New Roman"/>
                <w:b w:val="0"/>
                <w:i w:val="0"/>
                <w:caps w:val="0"/>
                <w:color w:val="auto"/>
                <w:spacing w:val="0"/>
                <w:w w:val="100"/>
                <w:kern w:val="0"/>
                <w:sz w:val="22"/>
                <w:szCs w:val="22"/>
                <w:highlight w:val="none"/>
                <w:lang w:val="en" w:eastAsia="zh-CN" w:bidi="ar-SA"/>
              </w:rPr>
              <w:t>;</w:t>
            </w:r>
            <w:r>
              <w:rPr>
                <w:rStyle w:val="19"/>
                <w:rFonts w:hint="default" w:ascii="Times New Roman" w:hAnsi="Times New Roman" w:eastAsia="仿宋_GB2312" w:cs="Times New Roman"/>
                <w:b w:val="0"/>
                <w:i w:val="0"/>
                <w:caps w:val="0"/>
                <w:color w:val="auto"/>
                <w:spacing w:val="0"/>
                <w:w w:val="100"/>
                <w:kern w:val="0"/>
                <w:sz w:val="22"/>
                <w:szCs w:val="22"/>
                <w:highlight w:val="none"/>
                <w:lang w:val="en-US" w:eastAsia="zh-CN" w:bidi="ar-SA"/>
              </w:rPr>
              <w:t>（四）配合行政机关查处违法行为有立功表现的；（五）法律、法规、规章规定其他应当从轻或者减轻行政处罚的。</w:t>
            </w:r>
          </w:p>
        </w:tc>
      </w:tr>
    </w:tbl>
    <w:p>
      <w:pP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br w:type="page"/>
      </w:r>
    </w:p>
    <w:p>
      <w:pPr>
        <w:pStyle w:val="16"/>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auto"/>
          <w:kern w:val="2"/>
          <w:sz w:val="36"/>
          <w:szCs w:val="36"/>
          <w:highlight w:val="none"/>
          <w:lang w:val="en-US" w:eastAsia="zh-CN" w:bidi="ar-SA"/>
        </w:rPr>
      </w:pPr>
      <w:r>
        <w:rPr>
          <w:rFonts w:hint="default" w:ascii="Times New Roman" w:hAnsi="Times New Roman" w:eastAsia="方正小标宋简体" w:cs="Times New Roman"/>
          <w:color w:val="auto"/>
          <w:kern w:val="2"/>
          <w:sz w:val="36"/>
          <w:szCs w:val="36"/>
          <w:highlight w:val="none"/>
          <w:lang w:val="en-US" w:eastAsia="zh-CN" w:bidi="ar-SA"/>
        </w:rPr>
        <w:t>四、减轻处罚清单</w:t>
      </w:r>
    </w:p>
    <w:tbl>
      <w:tblPr>
        <w:tblStyle w:val="11"/>
        <w:tblpPr w:leftFromText="180" w:rightFromText="180" w:vertAnchor="text" w:horzAnchor="page" w:tblpXSpec="center" w:tblpY="803"/>
        <w:tblOverlap w:val="never"/>
        <w:tblW w:w="13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75" w:type="dxa"/>
          <w:left w:w="150" w:type="dxa"/>
          <w:bottom w:w="75" w:type="dxa"/>
          <w:right w:w="150" w:type="dxa"/>
        </w:tblCellMar>
      </w:tblPr>
      <w:tblGrid>
        <w:gridCol w:w="913"/>
        <w:gridCol w:w="3110"/>
        <w:gridCol w:w="3617"/>
        <w:gridCol w:w="6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blHeader/>
          <w:jc w:val="center"/>
        </w:trPr>
        <w:tc>
          <w:tcPr>
            <w:tcW w:w="913" w:type="dxa"/>
            <w:noWrap w:val="0"/>
            <w:tcMar>
              <w:top w:w="75" w:type="dxa"/>
              <w:left w:w="75" w:type="dxa"/>
              <w:bottom w:w="75" w:type="dxa"/>
              <w:right w:w="75" w:type="dxa"/>
            </w:tcMar>
            <w:vAlign w:val="center"/>
          </w:tcPr>
          <w:p>
            <w:pPr>
              <w:widowControl/>
              <w:snapToGrid/>
              <w:spacing w:before="0" w:beforeAutospacing="0" w:after="0" w:afterAutospacing="0" w:line="360" w:lineRule="exact"/>
              <w:jc w:val="center"/>
              <w:textAlignment w:val="baseline"/>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pPr>
            <w:r>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t>序号</w:t>
            </w:r>
          </w:p>
        </w:tc>
        <w:tc>
          <w:tcPr>
            <w:tcW w:w="3110" w:type="dxa"/>
            <w:noWrap w:val="0"/>
            <w:tcMar>
              <w:top w:w="75" w:type="dxa"/>
              <w:left w:w="75" w:type="dxa"/>
              <w:bottom w:w="75" w:type="dxa"/>
              <w:right w:w="75" w:type="dxa"/>
            </w:tcMar>
            <w:vAlign w:val="center"/>
          </w:tcPr>
          <w:p>
            <w:pPr>
              <w:widowControl/>
              <w:snapToGrid/>
              <w:spacing w:before="0" w:beforeAutospacing="0" w:after="0" w:afterAutospacing="0" w:line="360" w:lineRule="exact"/>
              <w:jc w:val="center"/>
              <w:textAlignment w:val="baseline"/>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pPr>
            <w:r>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t>违法行为</w:t>
            </w:r>
          </w:p>
        </w:tc>
        <w:tc>
          <w:tcPr>
            <w:tcW w:w="3617" w:type="dxa"/>
            <w:noWrap w:val="0"/>
            <w:tcMar>
              <w:top w:w="75" w:type="dxa"/>
              <w:left w:w="75" w:type="dxa"/>
              <w:bottom w:w="75" w:type="dxa"/>
              <w:right w:w="75" w:type="dxa"/>
            </w:tcMar>
            <w:vAlign w:val="center"/>
          </w:tcPr>
          <w:p>
            <w:pPr>
              <w:widowControl/>
              <w:snapToGrid/>
              <w:spacing w:before="0" w:beforeAutospacing="0" w:after="0" w:afterAutospacing="0" w:line="360" w:lineRule="exact"/>
              <w:jc w:val="center"/>
              <w:textAlignment w:val="baseline"/>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pPr>
            <w:r>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t>减轻处罚适用条件</w:t>
            </w:r>
          </w:p>
        </w:tc>
        <w:tc>
          <w:tcPr>
            <w:tcW w:w="6235" w:type="dxa"/>
            <w:noWrap w:val="0"/>
            <w:tcMar>
              <w:top w:w="75" w:type="dxa"/>
              <w:left w:w="75" w:type="dxa"/>
              <w:bottom w:w="75" w:type="dxa"/>
              <w:right w:w="75" w:type="dxa"/>
            </w:tcMar>
            <w:vAlign w:val="center"/>
          </w:tcPr>
          <w:p>
            <w:pPr>
              <w:widowControl/>
              <w:snapToGrid/>
              <w:spacing w:before="0" w:beforeAutospacing="0" w:after="0" w:afterAutospacing="0" w:line="360" w:lineRule="exact"/>
              <w:jc w:val="center"/>
              <w:textAlignment w:val="baseline"/>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pPr>
            <w:r>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t>法律依据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jc w:val="center"/>
        </w:trPr>
        <w:tc>
          <w:tcPr>
            <w:tcW w:w="913" w:type="dxa"/>
            <w:noWrap w:val="0"/>
            <w:tcMar>
              <w:top w:w="75" w:type="dxa"/>
              <w:left w:w="75" w:type="dxa"/>
              <w:bottom w:w="75" w:type="dxa"/>
              <w:right w:w="75" w:type="dxa"/>
            </w:tcMar>
            <w:vAlign w:val="center"/>
          </w:tcPr>
          <w:p>
            <w:pPr>
              <w:widowControl/>
              <w:snapToGrid/>
              <w:spacing w:before="0" w:beforeAutospacing="0" w:after="0" w:afterAutospacing="0" w:line="240" w:lineRule="atLeast"/>
              <w:jc w:val="center"/>
              <w:textAlignment w:val="baseline"/>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t>1</w:t>
            </w:r>
          </w:p>
        </w:tc>
        <w:tc>
          <w:tcPr>
            <w:tcW w:w="3110" w:type="dxa"/>
            <w:noWrap w:val="0"/>
            <w:tcMar>
              <w:top w:w="75" w:type="dxa"/>
              <w:left w:w="75" w:type="dxa"/>
              <w:bottom w:w="75" w:type="dxa"/>
              <w:right w:w="75" w:type="dxa"/>
            </w:tcMar>
            <w:vAlign w:val="center"/>
          </w:tcPr>
          <w:p>
            <w:pPr>
              <w:widowControl/>
              <w:snapToGrid/>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t>医疗保障经办机构、定点医药机构、个人骗取医疗保障基金</w:t>
            </w:r>
          </w:p>
        </w:tc>
        <w:tc>
          <w:tcPr>
            <w:tcW w:w="3617" w:type="dxa"/>
            <w:noWrap w:val="0"/>
            <w:tcMar>
              <w:top w:w="75" w:type="dxa"/>
              <w:left w:w="75" w:type="dxa"/>
              <w:bottom w:w="75" w:type="dxa"/>
              <w:right w:w="75" w:type="dxa"/>
            </w:tcMar>
            <w:vAlign w:val="center"/>
          </w:tcPr>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t>具有下列情形之一：</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t>1.</w:t>
            </w:r>
            <w:r>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t>已满14周岁不满18周岁的公民实施</w:t>
            </w:r>
            <w:r>
              <w:rPr>
                <w:rStyle w:val="19"/>
                <w:rFonts w:hint="eastAsia" w:ascii="Times New Roman" w:hAnsi="Times New Roman" w:eastAsia="仿宋_GB2312" w:cs="Times New Roman"/>
                <w:b w:val="0"/>
                <w:i w:val="0"/>
                <w:caps w:val="0"/>
                <w:color w:val="auto"/>
                <w:spacing w:val="0"/>
                <w:w w:val="100"/>
                <w:kern w:val="0"/>
                <w:sz w:val="21"/>
                <w:szCs w:val="21"/>
                <w:highlight w:val="none"/>
                <w:lang w:val="en-US" w:eastAsia="zh-CN" w:bidi="ar-SA"/>
              </w:rPr>
              <w:t>；</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t>2.</w:t>
            </w:r>
            <w:r>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t>尚未完全丧失辨认或者控制自己行为能力的精神病人、智力残疾人实施</w:t>
            </w:r>
            <w:r>
              <w:rPr>
                <w:rStyle w:val="19"/>
                <w:rFonts w:hint="eastAsia" w:ascii="Times New Roman" w:hAnsi="Times New Roman" w:eastAsia="仿宋_GB2312" w:cs="Times New Roman"/>
                <w:b w:val="0"/>
                <w:i w:val="0"/>
                <w:caps w:val="0"/>
                <w:color w:val="auto"/>
                <w:spacing w:val="0"/>
                <w:w w:val="100"/>
                <w:kern w:val="0"/>
                <w:sz w:val="21"/>
                <w:szCs w:val="21"/>
                <w:highlight w:val="none"/>
                <w:lang w:val="en-US" w:eastAsia="zh-CN" w:bidi="ar-SA"/>
              </w:rPr>
              <w:t>；</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t>3.</w:t>
            </w:r>
            <w:r>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t>主动消除或者减轻基金使用违法行为危害后果</w:t>
            </w:r>
            <w:r>
              <w:rPr>
                <w:rStyle w:val="19"/>
                <w:rFonts w:hint="eastAsia" w:ascii="Times New Roman" w:hAnsi="Times New Roman" w:eastAsia="仿宋_GB2312" w:cs="Times New Roman"/>
                <w:b w:val="0"/>
                <w:i w:val="0"/>
                <w:caps w:val="0"/>
                <w:color w:val="auto"/>
                <w:spacing w:val="0"/>
                <w:w w:val="100"/>
                <w:kern w:val="0"/>
                <w:sz w:val="21"/>
                <w:szCs w:val="21"/>
                <w:highlight w:val="none"/>
                <w:lang w:val="en-US" w:eastAsia="zh-CN" w:bidi="ar-SA"/>
              </w:rPr>
              <w:t>；</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t>4.</w:t>
            </w:r>
            <w:r>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t>受他人胁迫或者诱骗实施</w:t>
            </w:r>
            <w:r>
              <w:rPr>
                <w:rStyle w:val="19"/>
                <w:rFonts w:hint="eastAsia" w:ascii="Times New Roman" w:hAnsi="Times New Roman" w:eastAsia="仿宋_GB2312" w:cs="Times New Roman"/>
                <w:b w:val="0"/>
                <w:i w:val="0"/>
                <w:caps w:val="0"/>
                <w:color w:val="auto"/>
                <w:spacing w:val="0"/>
                <w:w w:val="100"/>
                <w:kern w:val="0"/>
                <w:sz w:val="21"/>
                <w:szCs w:val="21"/>
                <w:highlight w:val="none"/>
                <w:lang w:val="en-US" w:eastAsia="zh-CN" w:bidi="ar-SA"/>
              </w:rPr>
              <w:t>；</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t>5.</w:t>
            </w:r>
            <w:r>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t>主动供述医疗保障行政部门尚未掌握的违反医疗保障相关法律规范的行为的关键线索或证据，并经查证属实</w:t>
            </w:r>
            <w:r>
              <w:rPr>
                <w:rStyle w:val="19"/>
                <w:rFonts w:hint="eastAsia" w:ascii="Times New Roman" w:hAnsi="Times New Roman" w:eastAsia="仿宋_GB2312" w:cs="Times New Roman"/>
                <w:b w:val="0"/>
                <w:i w:val="0"/>
                <w:caps w:val="0"/>
                <w:color w:val="auto"/>
                <w:spacing w:val="0"/>
                <w:w w:val="100"/>
                <w:kern w:val="0"/>
                <w:sz w:val="21"/>
                <w:szCs w:val="21"/>
                <w:highlight w:val="none"/>
                <w:lang w:val="en-US" w:eastAsia="zh-CN" w:bidi="ar-SA"/>
              </w:rPr>
              <w:t>；</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t>6.</w:t>
            </w:r>
            <w:r>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t>配合医疗保障行政部门查处违法行为有立功表现</w:t>
            </w:r>
            <w:r>
              <w:rPr>
                <w:rStyle w:val="19"/>
                <w:rFonts w:hint="eastAsia" w:ascii="Times New Roman" w:hAnsi="Times New Roman" w:eastAsia="仿宋_GB2312" w:cs="Times New Roman"/>
                <w:b w:val="0"/>
                <w:i w:val="0"/>
                <w:caps w:val="0"/>
                <w:color w:val="auto"/>
                <w:spacing w:val="0"/>
                <w:w w:val="100"/>
                <w:kern w:val="0"/>
                <w:sz w:val="21"/>
                <w:szCs w:val="21"/>
                <w:highlight w:val="none"/>
                <w:lang w:val="en-US" w:eastAsia="zh-CN" w:bidi="ar-SA"/>
              </w:rPr>
              <w:t>；</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t>7.</w:t>
            </w:r>
            <w:r>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t>法律、法规、规章规定其他应当从轻或者减轻行政处罚</w:t>
            </w:r>
            <w:r>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rPr>
              <w:t>的情形</w:t>
            </w:r>
            <w:r>
              <w:rPr>
                <w:rStyle w:val="19"/>
                <w:rFonts w:hint="eastAsia" w:ascii="Times New Roman" w:hAnsi="Times New Roman" w:eastAsia="仿宋_GB2312" w:cs="Times New Roman"/>
                <w:b w:val="0"/>
                <w:i w:val="0"/>
                <w:caps w:val="0"/>
                <w:color w:val="auto"/>
                <w:spacing w:val="0"/>
                <w:w w:val="100"/>
                <w:kern w:val="0"/>
                <w:sz w:val="21"/>
                <w:szCs w:val="21"/>
                <w:highlight w:val="none"/>
                <w:lang w:val="en-US" w:eastAsia="zh-CN"/>
              </w:rPr>
              <w:t>。</w:t>
            </w:r>
          </w:p>
        </w:tc>
        <w:tc>
          <w:tcPr>
            <w:tcW w:w="6235" w:type="dxa"/>
            <w:noWrap w:val="0"/>
            <w:tcMar>
              <w:top w:w="75" w:type="dxa"/>
              <w:left w:w="75" w:type="dxa"/>
              <w:bottom w:w="75" w:type="dxa"/>
              <w:right w:w="75" w:type="dxa"/>
            </w:tcMar>
            <w:vAlign w:val="center"/>
          </w:tcPr>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t>1.</w:t>
            </w:r>
            <w:r>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t>《中华人民共和国行政处罚法》第三十条：已满十四周岁不满十八周岁的未成年人有违法行为的，应当从轻或者减轻行政处罚。</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t>2.</w:t>
            </w:r>
            <w:r>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t>《中华人民共和国行政处罚法》第三十一条：</w:t>
            </w:r>
            <w:r>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t>……</w:t>
            </w:r>
            <w:r>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t>尚未完全丧失辨认或者控制自己行为能力的精神病人、智力残疾人有违法行为的，可以从轻或者减轻行政处罚。</w:t>
            </w:r>
          </w:p>
          <w:p>
            <w:pPr>
              <w:widowControl/>
              <w:numPr>
                <w:ilvl w:val="0"/>
                <w:numId w:val="0"/>
              </w:numPr>
              <w:snapToGrid/>
              <w:spacing w:before="0" w:beforeAutospacing="0" w:after="0" w:afterAutospacing="0" w:line="240" w:lineRule="atLeast"/>
              <w:jc w:val="both"/>
              <w:textAlignment w:val="baseline"/>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t>3.</w:t>
            </w:r>
            <w:r>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t>《中华人民共和国行政处罚法》第三十二条：当事人有下列情形之一，应当从轻或者减轻行政处罚：（一）主动消除或者减轻违法行为危害后果的；（二）受他人胁迫或者诱骗实施违法行为的；（三）主动供述行政机关尚未掌握的违法行为的</w:t>
            </w:r>
            <w:r>
              <w:rPr>
                <w:rStyle w:val="19"/>
                <w:rFonts w:hint="default" w:ascii="Times New Roman" w:hAnsi="Times New Roman" w:eastAsia="仿宋_GB2312" w:cs="Times New Roman"/>
                <w:b w:val="0"/>
                <w:i w:val="0"/>
                <w:caps w:val="0"/>
                <w:color w:val="auto"/>
                <w:spacing w:val="0"/>
                <w:w w:val="100"/>
                <w:kern w:val="0"/>
                <w:sz w:val="21"/>
                <w:szCs w:val="21"/>
                <w:highlight w:val="none"/>
                <w:lang w:val="en" w:eastAsia="zh-CN" w:bidi="ar-SA"/>
              </w:rPr>
              <w:t>;</w:t>
            </w:r>
            <w:r>
              <w:rPr>
                <w:rStyle w:val="19"/>
                <w:rFonts w:hint="default" w:ascii="Times New Roman" w:hAnsi="Times New Roman" w:eastAsia="仿宋_GB2312" w:cs="Times New Roman"/>
                <w:b w:val="0"/>
                <w:i w:val="0"/>
                <w:caps w:val="0"/>
                <w:color w:val="auto"/>
                <w:spacing w:val="0"/>
                <w:w w:val="100"/>
                <w:kern w:val="0"/>
                <w:sz w:val="21"/>
                <w:szCs w:val="21"/>
                <w:highlight w:val="none"/>
                <w:lang w:val="en-US" w:eastAsia="zh-CN" w:bidi="ar-SA"/>
              </w:rPr>
              <w:t>（四）配合行政机关查处违法行为有立功表现的；（五）法律、法规、规章规定其他应当从轻或者减轻行政处罚的。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0" w:hRule="atLeast"/>
          <w:tblHeader/>
          <w:jc w:val="center"/>
        </w:trPr>
        <w:tc>
          <w:tcPr>
            <w:tcW w:w="913" w:type="dxa"/>
            <w:noWrap w:val="0"/>
            <w:tcMar>
              <w:top w:w="75" w:type="dxa"/>
              <w:left w:w="75" w:type="dxa"/>
              <w:bottom w:w="75" w:type="dxa"/>
              <w:right w:w="75" w:type="dxa"/>
            </w:tcMar>
            <w:vAlign w:val="center"/>
          </w:tcPr>
          <w:p>
            <w:pPr>
              <w:widowControl/>
              <w:snapToGrid/>
              <w:spacing w:before="0" w:beforeAutospacing="0" w:after="0" w:afterAutospacing="0" w:line="240" w:lineRule="atLeast"/>
              <w:jc w:val="center"/>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2</w:t>
            </w:r>
          </w:p>
        </w:tc>
        <w:tc>
          <w:tcPr>
            <w:tcW w:w="3110" w:type="dxa"/>
            <w:noWrap w:val="0"/>
            <w:tcMar>
              <w:top w:w="75" w:type="dxa"/>
              <w:left w:w="75" w:type="dxa"/>
              <w:bottom w:w="75" w:type="dxa"/>
              <w:right w:w="75" w:type="dxa"/>
            </w:tcMar>
            <w:vAlign w:val="center"/>
          </w:tcPr>
          <w:p>
            <w:pPr>
              <w:pStyle w:val="2"/>
              <w:numPr>
                <w:ilvl w:val="0"/>
                <w:numId w:val="0"/>
              </w:numPr>
              <w:ind w:left="0" w:leftChars="0" w:firstLine="0" w:firstLineChars="0"/>
              <w:rPr>
                <w:rFonts w:hint="default" w:ascii="Times New Roman" w:hAnsi="Times New Roman" w:eastAsia="仿宋_GB2312" w:cs="Times New Roman"/>
                <w:color w:val="auto"/>
                <w:kern w:val="2"/>
                <w:sz w:val="20"/>
                <w:szCs w:val="20"/>
                <w:highlight w:val="none"/>
                <w:lang w:val="en-US" w:eastAsia="zh-CN" w:bidi="ar-SA"/>
              </w:rPr>
            </w:pPr>
            <w:r>
              <w:rPr>
                <w:rFonts w:hint="default" w:ascii="Times New Roman" w:hAnsi="Times New Roman" w:eastAsia="仿宋_GB2312" w:cs="Times New Roman"/>
                <w:color w:val="auto"/>
                <w:sz w:val="20"/>
                <w:szCs w:val="20"/>
                <w:highlight w:val="none"/>
                <w:lang w:val="en-US" w:eastAsia="zh-CN"/>
              </w:rPr>
              <w:t>定点医药机构实施分解住院、挂床住院等违法行为</w:t>
            </w:r>
          </w:p>
        </w:tc>
        <w:tc>
          <w:tcPr>
            <w:tcW w:w="3617" w:type="dxa"/>
            <w:noWrap w:val="0"/>
            <w:tcMar>
              <w:top w:w="75" w:type="dxa"/>
              <w:left w:w="75" w:type="dxa"/>
              <w:bottom w:w="75" w:type="dxa"/>
              <w:right w:w="75" w:type="dxa"/>
            </w:tcMar>
            <w:vAlign w:val="center"/>
          </w:tcPr>
          <w:p>
            <w:pPr>
              <w:widowControl/>
              <w:numPr>
                <w:ilvl w:val="0"/>
                <w:numId w:val="0"/>
              </w:numPr>
              <w:snapToGrid/>
              <w:spacing w:before="0" w:beforeAutospacing="0" w:after="0" w:afterAutospacing="0" w:line="240" w:lineRule="atLeast"/>
              <w:ind w:leftChars="0"/>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pPr>
            <w:r>
              <w:rPr>
                <w:rFonts w:hint="default" w:ascii="Times New Roman" w:hAnsi="Times New Roman" w:eastAsia="仿宋_GB2312" w:cs="Times New Roman"/>
                <w:color w:val="auto"/>
                <w:sz w:val="20"/>
                <w:szCs w:val="20"/>
                <w:highlight w:val="none"/>
                <w:lang w:val="en" w:eastAsia="zh-CN"/>
              </w:rPr>
              <w:t>具</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有下列情形之一：</w:t>
            </w:r>
          </w:p>
          <w:p>
            <w:pPr>
              <w:widowControl/>
              <w:numPr>
                <w:ilvl w:val="0"/>
                <w:numId w:val="0"/>
              </w:numPr>
              <w:snapToGrid/>
              <w:spacing w:before="0" w:beforeAutospacing="0" w:after="0" w:afterAutospacing="0" w:line="240" w:lineRule="atLeast"/>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1.</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同时符合以下条件：</w:t>
            </w:r>
          </w:p>
          <w:p>
            <w:pPr>
              <w:widowControl/>
              <w:numPr>
                <w:ilvl w:val="0"/>
                <w:numId w:val="0"/>
              </w:numPr>
              <w:snapToGrid/>
              <w:spacing w:before="0" w:beforeAutospacing="0" w:after="0" w:afterAutospacing="0" w:line="240" w:lineRule="atLeast"/>
              <w:jc w:val="both"/>
              <w:textAlignment w:val="baseline"/>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sz w:val="20"/>
                <w:szCs w:val="20"/>
                <w:highlight w:val="none"/>
                <w:lang w:val="en-US" w:eastAsia="zh-CN"/>
              </w:rPr>
              <w:t>（1）不符合该类违法行为不予处罚适用条件；</w:t>
            </w:r>
          </w:p>
          <w:p>
            <w:pPr>
              <w:widowControl/>
              <w:numPr>
                <w:ilvl w:val="0"/>
                <w:numId w:val="0"/>
              </w:numPr>
              <w:snapToGrid/>
              <w:spacing w:before="0" w:beforeAutospacing="0" w:after="0" w:afterAutospacing="0" w:line="240" w:lineRule="atLeast"/>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（2）及时改正违法行为，主动消除或者减轻基金使用违法行为危害后果；</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2.</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受他人胁迫或者诱骗实施；</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3.</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主动供述医疗保障行政部门尚未掌握的违反医疗保障相关法律规范的行为的关键线索或证据，并经查证属实；</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4.</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配合医疗保障行政部门查处违法行为有立功表现；</w:t>
            </w:r>
          </w:p>
          <w:p>
            <w:pPr>
              <w:widowControl/>
              <w:numPr>
                <w:ilvl w:val="0"/>
                <w:numId w:val="0"/>
              </w:numPr>
              <w:snapToGrid/>
              <w:spacing w:before="0" w:beforeAutospacing="0" w:after="0" w:afterAutospacing="0" w:line="240" w:lineRule="atLeast"/>
              <w:ind w:left="0" w:leftChars="0" w:firstLine="0" w:firstLineChars="0"/>
              <w:jc w:val="both"/>
              <w:textAlignment w:val="baseline"/>
              <w:rPr>
                <w:rFonts w:hint="default" w:ascii="Times New Roman" w:hAnsi="Times New Roman" w:eastAsia="仿宋_GB2312" w:cs="Times New Roman"/>
                <w:color w:val="auto"/>
                <w:kern w:val="2"/>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5.</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法律、法规、规章规定其他应当从轻或者减轻行政处罚</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rPr>
              <w:t>的情形。</w:t>
            </w:r>
          </w:p>
        </w:tc>
        <w:tc>
          <w:tcPr>
            <w:tcW w:w="6235" w:type="dxa"/>
            <w:noWrap w:val="0"/>
            <w:tcMar>
              <w:top w:w="75" w:type="dxa"/>
              <w:left w:w="75" w:type="dxa"/>
              <w:bottom w:w="75" w:type="dxa"/>
              <w:right w:w="75" w:type="dxa"/>
            </w:tcMar>
            <w:vAlign w:val="center"/>
          </w:tcPr>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中华人民共和国行政处罚法》第三十二条：当事人有下列情形之一，应当从轻或者减轻行政处罚：（一）主动消除或者减轻违法行为危害后果的；（二）受他人胁迫或者诱骗实施违法行为的；（三）主动供述行政机关尚未掌握的违法行为的</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（四）配合行政机关查处违法行为有立功表现的；（五）法律、法规、规章规定其他应当从轻或者减轻行政处罚的。</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5" w:hRule="atLeast"/>
          <w:tblHeader/>
          <w:jc w:val="center"/>
        </w:trPr>
        <w:tc>
          <w:tcPr>
            <w:tcW w:w="913" w:type="dxa"/>
            <w:noWrap w:val="0"/>
            <w:tcMar>
              <w:top w:w="75" w:type="dxa"/>
              <w:left w:w="75" w:type="dxa"/>
              <w:bottom w:w="75" w:type="dxa"/>
              <w:right w:w="75" w:type="dxa"/>
            </w:tcMar>
            <w:vAlign w:val="center"/>
          </w:tcPr>
          <w:p>
            <w:pPr>
              <w:widowControl/>
              <w:snapToGrid/>
              <w:spacing w:before="0" w:beforeAutospacing="0" w:after="0" w:afterAutospacing="0" w:line="240" w:lineRule="atLeast"/>
              <w:jc w:val="center"/>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3</w:t>
            </w:r>
          </w:p>
        </w:tc>
        <w:tc>
          <w:tcPr>
            <w:tcW w:w="3110" w:type="dxa"/>
            <w:noWrap w:val="0"/>
            <w:tcMar>
              <w:top w:w="75" w:type="dxa"/>
              <w:left w:w="75" w:type="dxa"/>
              <w:bottom w:w="75" w:type="dxa"/>
              <w:right w:w="75" w:type="dxa"/>
            </w:tcMar>
            <w:vAlign w:val="center"/>
          </w:tcPr>
          <w:p>
            <w:pPr>
              <w:pStyle w:val="2"/>
              <w:ind w:left="0" w:leftChars="0" w:firstLine="0" w:firstLineChars="0"/>
              <w:jc w:val="both"/>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rPr>
              <w:t>定点医药机构存在未建立医疗保障基金使用内部管理制度，或者没有专门机构或者人员负责医疗保障基金使用管理工作等情形</w:t>
            </w:r>
          </w:p>
        </w:tc>
        <w:tc>
          <w:tcPr>
            <w:tcW w:w="3617" w:type="dxa"/>
            <w:noWrap w:val="0"/>
            <w:tcMar>
              <w:top w:w="75" w:type="dxa"/>
              <w:left w:w="75" w:type="dxa"/>
              <w:bottom w:w="75" w:type="dxa"/>
              <w:right w:w="75" w:type="dxa"/>
            </w:tcMar>
            <w:vAlign w:val="center"/>
          </w:tcPr>
          <w:p>
            <w:pPr>
              <w:pStyle w:val="2"/>
              <w:ind w:left="0" w:leftChars="0" w:firstLine="0" w:firstLineChars="0"/>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rPr>
              <w:t>具有下列情形之一：</w:t>
            </w:r>
          </w:p>
          <w:p>
            <w:pPr>
              <w:pStyle w:val="2"/>
              <w:ind w:left="0" w:leftChars="0" w:firstLine="0" w:firstLineChars="0"/>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rPr>
              <w:t>1.</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rPr>
              <w:t>主动消除或者减轻相应危害后果</w:t>
            </w:r>
            <w:r>
              <w:rPr>
                <w:rStyle w:val="19"/>
                <w:rFonts w:hint="default" w:ascii="Times New Roman" w:hAnsi="Times New Roman" w:cs="Times New Roman"/>
                <w:b w:val="0"/>
                <w:i w:val="0"/>
                <w:caps w:val="0"/>
                <w:color w:val="auto"/>
                <w:spacing w:val="0"/>
                <w:w w:val="100"/>
                <w:kern w:val="0"/>
                <w:sz w:val="20"/>
                <w:szCs w:val="20"/>
                <w:highlight w:val="none"/>
                <w:lang w:val="en-US" w:eastAsia="zh-CN"/>
              </w:rPr>
              <w:t>；</w:t>
            </w:r>
          </w:p>
          <w:p>
            <w:pPr>
              <w:pStyle w:val="2"/>
              <w:ind w:left="0" w:leftChars="0" w:firstLine="0" w:firstLineChars="0"/>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rPr>
              <w:t>2.</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rPr>
              <w:t>主动供述医疗保障行政机关尚未掌握的违反医疗保障相关法律规范的行为的关键线索或证据，并经查证属实</w:t>
            </w:r>
            <w:r>
              <w:rPr>
                <w:rStyle w:val="19"/>
                <w:rFonts w:hint="default" w:ascii="Times New Roman" w:hAnsi="Times New Roman" w:cs="Times New Roman"/>
                <w:b w:val="0"/>
                <w:i w:val="0"/>
                <w:caps w:val="0"/>
                <w:color w:val="auto"/>
                <w:spacing w:val="0"/>
                <w:w w:val="100"/>
                <w:kern w:val="0"/>
                <w:sz w:val="20"/>
                <w:szCs w:val="20"/>
                <w:highlight w:val="none"/>
                <w:lang w:val="en-US" w:eastAsia="zh-CN"/>
              </w:rPr>
              <w:t>；</w:t>
            </w:r>
          </w:p>
          <w:p>
            <w:pPr>
              <w:pStyle w:val="2"/>
              <w:ind w:left="0" w:leftChars="0" w:firstLine="0" w:firstLineChars="0"/>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rPr>
              <w:t>3.</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rPr>
              <w:t>配合医疗保障行政部门查处违法行为有立功表现</w:t>
            </w:r>
            <w:r>
              <w:rPr>
                <w:rStyle w:val="19"/>
                <w:rFonts w:hint="default" w:ascii="Times New Roman" w:hAnsi="Times New Roman" w:cs="Times New Roman"/>
                <w:b w:val="0"/>
                <w:i w:val="0"/>
                <w:caps w:val="0"/>
                <w:color w:val="auto"/>
                <w:spacing w:val="0"/>
                <w:w w:val="100"/>
                <w:kern w:val="0"/>
                <w:sz w:val="20"/>
                <w:szCs w:val="20"/>
                <w:highlight w:val="none"/>
                <w:lang w:val="en-US" w:eastAsia="zh-CN"/>
              </w:rPr>
              <w:t>；</w:t>
            </w:r>
          </w:p>
          <w:p>
            <w:pPr>
              <w:pStyle w:val="2"/>
              <w:ind w:left="0" w:leftChars="0" w:firstLine="0" w:firstLineChars="0"/>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rPr>
              <w:t>4.</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rPr>
              <w:t>法律、法规、规章规定其他应当从轻或者减轻行政处罚的情形</w:t>
            </w:r>
            <w:r>
              <w:rPr>
                <w:rStyle w:val="19"/>
                <w:rFonts w:hint="default" w:ascii="Times New Roman" w:hAnsi="Times New Roman" w:cs="Times New Roman"/>
                <w:b w:val="0"/>
                <w:i w:val="0"/>
                <w:caps w:val="0"/>
                <w:color w:val="auto"/>
                <w:spacing w:val="0"/>
                <w:w w:val="100"/>
                <w:kern w:val="0"/>
                <w:sz w:val="20"/>
                <w:szCs w:val="20"/>
                <w:highlight w:val="none"/>
                <w:lang w:val="en-US" w:eastAsia="zh-CN"/>
              </w:rPr>
              <w:t>。</w:t>
            </w:r>
          </w:p>
        </w:tc>
        <w:tc>
          <w:tcPr>
            <w:tcW w:w="6235" w:type="dxa"/>
            <w:noWrap w:val="0"/>
            <w:tcMar>
              <w:top w:w="75" w:type="dxa"/>
              <w:left w:w="75" w:type="dxa"/>
              <w:bottom w:w="75" w:type="dxa"/>
              <w:right w:w="75" w:type="dxa"/>
            </w:tcMar>
            <w:vAlign w:val="center"/>
          </w:tcPr>
          <w:p>
            <w:pPr>
              <w:pStyle w:val="2"/>
              <w:ind w:left="0" w:leftChars="0" w:firstLine="0" w:firstLineChars="0"/>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rPr>
              <w:t>《中华人民共和国行政处罚法》第三十二条：当事人有下列情形之一，应当从轻或者减轻行政处罚：（一）主动消除或者减轻违法行为危害后果的；（二）受他人胁迫或者诱骗实施违法行为的；（三）主动供述行政机关尚未掌握的违法行为的</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rPr>
              <w:t>;</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rPr>
              <w:t>（四）配合行政机关查处违法行为有立功表现的；（五）法律、法规、规章规定其他应当从轻或者减轻行政处罚的</w:t>
            </w:r>
            <w:r>
              <w:rPr>
                <w:rStyle w:val="19"/>
                <w:rFonts w:hint="default" w:ascii="Times New Roman" w:hAnsi="Times New Roman" w:cs="Times New Roman"/>
                <w:b w:val="0"/>
                <w:i w:val="0"/>
                <w:caps w:val="0"/>
                <w:color w:val="auto"/>
                <w:spacing w:val="0"/>
                <w:w w:val="100"/>
                <w:kern w:val="0"/>
                <w:sz w:val="20"/>
                <w:szCs w:val="20"/>
                <w:highlight w:val="none"/>
                <w:lang w:val="en-US" w:eastAsia="zh-CN"/>
              </w:rPr>
              <w:t>。</w:t>
            </w:r>
          </w:p>
          <w:p>
            <w:pPr>
              <w:pStyle w:val="2"/>
              <w:ind w:left="0" w:leftChars="0" w:firstLine="0" w:firstLineChars="0"/>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6" w:hRule="atLeast"/>
          <w:tblHeader/>
          <w:jc w:val="center"/>
        </w:trPr>
        <w:tc>
          <w:tcPr>
            <w:tcW w:w="913" w:type="dxa"/>
            <w:noWrap w:val="0"/>
            <w:tcMar>
              <w:top w:w="75" w:type="dxa"/>
              <w:left w:w="75" w:type="dxa"/>
              <w:bottom w:w="75" w:type="dxa"/>
              <w:right w:w="75" w:type="dxa"/>
            </w:tcMar>
            <w:vAlign w:val="center"/>
          </w:tcPr>
          <w:p>
            <w:pPr>
              <w:widowControl/>
              <w:snapToGrid/>
              <w:spacing w:before="0" w:beforeAutospacing="0" w:after="0" w:afterAutospacing="0" w:line="240" w:lineRule="atLeast"/>
              <w:jc w:val="center"/>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4</w:t>
            </w:r>
          </w:p>
        </w:tc>
        <w:tc>
          <w:tcPr>
            <w:tcW w:w="3110" w:type="dxa"/>
            <w:noWrap w:val="0"/>
            <w:tcMar>
              <w:top w:w="75" w:type="dxa"/>
              <w:left w:w="75" w:type="dxa"/>
              <w:bottom w:w="75" w:type="dxa"/>
              <w:right w:w="75" w:type="dxa"/>
            </w:tcMar>
            <w:vAlign w:val="center"/>
          </w:tcPr>
          <w:p>
            <w:pPr>
              <w:widowControl/>
              <w:snapToGrid/>
              <w:spacing w:before="0" w:beforeAutospacing="0" w:after="0" w:afterAutospacing="0" w:line="240" w:lineRule="atLeast"/>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参加药品采购投标的投标人以低于成本的报价竞标，或者以欺诈、串通投标、滥用市场支配地位等方式竞标</w:t>
            </w:r>
          </w:p>
        </w:tc>
        <w:tc>
          <w:tcPr>
            <w:tcW w:w="3617" w:type="dxa"/>
            <w:noWrap w:val="0"/>
            <w:tcMar>
              <w:top w:w="75" w:type="dxa"/>
              <w:left w:w="75" w:type="dxa"/>
              <w:bottom w:w="75" w:type="dxa"/>
              <w:right w:w="75" w:type="dxa"/>
            </w:tcMar>
            <w:vAlign w:val="center"/>
          </w:tcPr>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具有下列情形之一：</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1.</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主动消除或者减轻违法行为危害后果；</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2.</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受他人胁迫或者诱骗实施；</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3.</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主动供述医疗保障行政机关尚未掌握的违反医疗保障相关法律规范的行为的关键线索或证据，并经查证属实；</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4.</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配合医疗保障行政部门查处违法行为有立功表现；</w:t>
            </w:r>
          </w:p>
          <w:p>
            <w:pPr>
              <w:widowControl/>
              <w:snapToGrid/>
              <w:spacing w:before="0" w:beforeAutospacing="0" w:after="0" w:afterAutospacing="0" w:line="240" w:lineRule="atLeast"/>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5.</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法律、法规、规章规定其他应当从轻或者减轻行政处罚</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rPr>
              <w:t>的情形。</w:t>
            </w:r>
          </w:p>
        </w:tc>
        <w:tc>
          <w:tcPr>
            <w:tcW w:w="6235" w:type="dxa"/>
            <w:noWrap w:val="0"/>
            <w:tcMar>
              <w:top w:w="75" w:type="dxa"/>
              <w:left w:w="75" w:type="dxa"/>
              <w:bottom w:w="75" w:type="dxa"/>
              <w:right w:w="75" w:type="dxa"/>
            </w:tcMar>
            <w:vAlign w:val="center"/>
          </w:tcPr>
          <w:p>
            <w:pPr>
              <w:widowControl/>
              <w:snapToGrid/>
              <w:spacing w:before="0" w:beforeAutospacing="0" w:after="0" w:afterAutospacing="0" w:line="240" w:lineRule="atLeast"/>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中华人民共和国行政处罚法》第三十二条：当事人有下列情形之一，应当从轻或者减轻行政处罚：（一）主动消除或者减轻违法行为危害后果的；（二）受他人胁迫或者诱骗实施违法行为的；（三）主动供述行政机关尚未掌握的违法行为的</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（四）配合行政机关查处违法行为有立功表现的；（五）法律、法规、规章规定其他应当从轻或者减轻行政处罚的。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7" w:hRule="atLeast"/>
          <w:tblHeader/>
          <w:jc w:val="center"/>
        </w:trPr>
        <w:tc>
          <w:tcPr>
            <w:tcW w:w="913" w:type="dxa"/>
            <w:noWrap w:val="0"/>
            <w:tcMar>
              <w:top w:w="75" w:type="dxa"/>
              <w:left w:w="75" w:type="dxa"/>
              <w:bottom w:w="75" w:type="dxa"/>
              <w:right w:w="75" w:type="dxa"/>
            </w:tcMar>
            <w:vAlign w:val="center"/>
          </w:tcPr>
          <w:p>
            <w:pPr>
              <w:widowControl/>
              <w:snapToGrid/>
              <w:spacing w:before="0" w:beforeAutospacing="0" w:after="0" w:afterAutospacing="0" w:line="240" w:lineRule="atLeast"/>
              <w:jc w:val="center"/>
              <w:textAlignment w:val="baseline"/>
              <w:rPr>
                <w:rFonts w:hint="default" w:ascii="Times New Roman" w:hAnsi="Times New Roman" w:eastAsia="仿宋_GB2312" w:cs="Times New Roman"/>
                <w:b w:val="0"/>
                <w:i w:val="0"/>
                <w:caps w:val="0"/>
                <w:color w:val="auto"/>
                <w:spacing w:val="0"/>
                <w:w w:val="100"/>
                <w:kern w:val="0"/>
                <w:sz w:val="20"/>
                <w:szCs w:val="20"/>
                <w:highlight w:val="none"/>
                <w:lang w:val="en" w:eastAsia="zh-CN" w:bidi="ar-SA"/>
              </w:rPr>
            </w:pPr>
            <w:r>
              <w:rPr>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5</w:t>
            </w:r>
          </w:p>
        </w:tc>
        <w:tc>
          <w:tcPr>
            <w:tcW w:w="3110" w:type="dxa"/>
            <w:noWrap w:val="0"/>
            <w:tcMar>
              <w:top w:w="75" w:type="dxa"/>
              <w:left w:w="75" w:type="dxa"/>
              <w:bottom w:w="75" w:type="dxa"/>
              <w:right w:w="75" w:type="dxa"/>
            </w:tcMar>
            <w:vAlign w:val="center"/>
          </w:tcPr>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缴费单位有下列情形之一：</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1.</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未按照规定办理社会保险登记、变更登记或者注销登记</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2.</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未按规定从缴费个人工资中代扣代缴社会保险费或者未按规定向职工公布本单位社会保险费缴纳情况</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3.</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伪造、变造、故意毁灭社会保险缴费等财务账册、材料，或者不设账册，致使社会保险费基数无法确定</w:t>
            </w:r>
          </w:p>
          <w:p>
            <w:pPr>
              <w:widowControl/>
              <w:snapToGrid/>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4.</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未按时足额缴纳社会保险费</w:t>
            </w:r>
          </w:p>
        </w:tc>
        <w:tc>
          <w:tcPr>
            <w:tcW w:w="3617" w:type="dxa"/>
            <w:noWrap w:val="0"/>
            <w:tcMar>
              <w:top w:w="75" w:type="dxa"/>
              <w:left w:w="75" w:type="dxa"/>
              <w:bottom w:w="75" w:type="dxa"/>
              <w:right w:w="75" w:type="dxa"/>
            </w:tcMar>
            <w:vAlign w:val="center"/>
          </w:tcPr>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具有下列情形之一：</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1.</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主动消除或者减轻违法行为危害后果；</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2.</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受他人胁迫或者诱骗实施；</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3.</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主动供述医疗保障行政机关尚未掌握的违反医疗保障相关法律规范的行为的关键线索或证据，并经查证属实；</w:t>
            </w:r>
          </w:p>
          <w:p>
            <w:pPr>
              <w:widowControl/>
              <w:numPr>
                <w:ilvl w:val="0"/>
                <w:numId w:val="0"/>
              </w:numPr>
              <w:snapToGrid/>
              <w:spacing w:before="0" w:beforeAutospacing="0" w:after="0" w:afterAutospacing="0" w:line="240" w:lineRule="atLeast"/>
              <w:ind w:left="0" w:leftChars="0" w:firstLine="0" w:firstLineChars="0"/>
              <w:jc w:val="both"/>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4.</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配合医疗保障行政部门查处违法行为有立功表现；</w:t>
            </w:r>
          </w:p>
          <w:p>
            <w:pPr>
              <w:widowControl/>
              <w:snapToGrid/>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kern w:val="0"/>
                <w:sz w:val="20"/>
                <w:szCs w:val="20"/>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5.</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法律、法规、规章规定其他应当从轻或者减轻行政处罚</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rPr>
              <w:t>的情形。</w:t>
            </w:r>
          </w:p>
        </w:tc>
        <w:tc>
          <w:tcPr>
            <w:tcW w:w="6235" w:type="dxa"/>
            <w:noWrap w:val="0"/>
            <w:tcMar>
              <w:top w:w="75" w:type="dxa"/>
              <w:left w:w="75" w:type="dxa"/>
              <w:bottom w:w="75" w:type="dxa"/>
              <w:right w:w="75" w:type="dxa"/>
            </w:tcMar>
            <w:vAlign w:val="center"/>
          </w:tcPr>
          <w:p>
            <w:pPr>
              <w:widowControl/>
              <w:snapToGrid/>
              <w:spacing w:before="0" w:beforeAutospacing="0" w:after="0" w:afterAutospacing="0" w:line="240" w:lineRule="atLeast"/>
              <w:jc w:val="both"/>
              <w:textAlignment w:val="baseline"/>
              <w:rPr>
                <w:rFonts w:hint="default" w:ascii="Times New Roman" w:hAnsi="Times New Roman" w:eastAsia="仿宋_GB2312" w:cs="Times New Roman"/>
                <w:color w:val="auto"/>
                <w:kern w:val="2"/>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中华人民共和国行政处罚法》第三十二条：当事人有下列情形之一，应当从轻或者减轻行政处罚：（一）主动消除或者减轻违法行为危害后果的；（二）受他人胁迫或者诱骗实施违法行为的；（三）主动供述行政机关尚未掌握的违法行为的</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（四）配合行政机关查处违法行为有立功表现的；（五）法律、法规、规章规定其他应当从轻或者减轻行政处罚的。</w:t>
            </w:r>
          </w:p>
        </w:tc>
      </w:tr>
    </w:tbl>
    <w:p>
      <w:pPr>
        <w:keepNext w:val="0"/>
        <w:keepLines w:val="0"/>
        <w:pageBreakBefore w:val="0"/>
        <w:widowControl w:val="0"/>
        <w:tabs>
          <w:tab w:val="left" w:pos="925"/>
        </w:tabs>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小标宋简体" w:cs="Times New Roman"/>
          <w:color w:val="auto"/>
          <w:kern w:val="2"/>
          <w:sz w:val="36"/>
          <w:szCs w:val="36"/>
          <w:highlight w:val="none"/>
          <w:lang w:val="en-US" w:eastAsia="zh-CN" w:bidi="ar-SA"/>
        </w:rPr>
      </w:pPr>
      <w:r>
        <w:rPr>
          <w:rFonts w:hint="default" w:ascii="Times New Roman" w:hAnsi="Times New Roman" w:eastAsia="方正小标宋简体" w:cs="Times New Roman"/>
          <w:color w:val="auto"/>
          <w:kern w:val="2"/>
          <w:sz w:val="36"/>
          <w:szCs w:val="36"/>
          <w:highlight w:val="none"/>
          <w:lang w:val="en-US" w:eastAsia="zh-CN" w:bidi="ar-SA"/>
        </w:rPr>
        <w:t>五、从重处罚清单</w:t>
      </w:r>
    </w:p>
    <w:tbl>
      <w:tblPr>
        <w:tblStyle w:val="11"/>
        <w:tblpPr w:leftFromText="180" w:rightFromText="180" w:vertAnchor="text" w:horzAnchor="page" w:tblpXSpec="center" w:tblpY="795"/>
        <w:tblOverlap w:val="never"/>
        <w:tblW w:w="14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75" w:type="dxa"/>
          <w:left w:w="150" w:type="dxa"/>
          <w:bottom w:w="75" w:type="dxa"/>
          <w:right w:w="150" w:type="dxa"/>
        </w:tblCellMar>
      </w:tblPr>
      <w:tblGrid>
        <w:gridCol w:w="843"/>
        <w:gridCol w:w="2918"/>
        <w:gridCol w:w="3744"/>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tblHeader/>
          <w:jc w:val="center"/>
        </w:trPr>
        <w:tc>
          <w:tcPr>
            <w:tcW w:w="843" w:type="dxa"/>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snapToGrid/>
              <w:spacing w:before="0" w:beforeAutospacing="0" w:after="0" w:afterAutospacing="0" w:line="400" w:lineRule="atLeast"/>
              <w:jc w:val="center"/>
              <w:textAlignment w:val="baseline"/>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pPr>
            <w:r>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t>序号</w:t>
            </w:r>
          </w:p>
        </w:tc>
        <w:tc>
          <w:tcPr>
            <w:tcW w:w="2918" w:type="dxa"/>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snapToGrid/>
              <w:spacing w:before="0" w:beforeAutospacing="0" w:after="0" w:afterAutospacing="0" w:line="400" w:lineRule="atLeast"/>
              <w:jc w:val="center"/>
              <w:textAlignment w:val="baseline"/>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pPr>
            <w:r>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t>违法行为</w:t>
            </w:r>
          </w:p>
        </w:tc>
        <w:tc>
          <w:tcPr>
            <w:tcW w:w="3744" w:type="dxa"/>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snapToGrid/>
              <w:spacing w:before="0" w:beforeAutospacing="0" w:after="0" w:afterAutospacing="0" w:line="400" w:lineRule="atLeast"/>
              <w:jc w:val="center"/>
              <w:textAlignment w:val="baseline"/>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pPr>
            <w:r>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t>从重处罚适用条件</w:t>
            </w:r>
          </w:p>
        </w:tc>
        <w:tc>
          <w:tcPr>
            <w:tcW w:w="6809" w:type="dxa"/>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snapToGrid/>
              <w:spacing w:before="0" w:beforeAutospacing="0" w:after="0" w:afterAutospacing="0" w:line="400" w:lineRule="atLeast"/>
              <w:jc w:val="center"/>
              <w:textAlignment w:val="baseline"/>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pPr>
            <w:r>
              <w:rPr>
                <w:rStyle w:val="19"/>
                <w:rFonts w:hint="default" w:ascii="Times New Roman" w:hAnsi="Times New Roman" w:eastAsia="黑体" w:cs="Times New Roman"/>
                <w:b w:val="0"/>
                <w:bCs w:val="0"/>
                <w:i w:val="0"/>
                <w:caps w:val="0"/>
                <w:color w:val="auto"/>
                <w:spacing w:val="0"/>
                <w:w w:val="100"/>
                <w:kern w:val="0"/>
                <w:sz w:val="28"/>
                <w:szCs w:val="28"/>
                <w:highlight w:val="none"/>
                <w:lang w:val="en-US" w:eastAsia="zh-CN" w:bidi="ar-SA"/>
              </w:rPr>
              <w:t>法律依据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8" w:hRule="atLeast"/>
          <w:jc w:val="center"/>
        </w:trPr>
        <w:tc>
          <w:tcPr>
            <w:tcW w:w="843" w:type="dxa"/>
            <w:noWrap w:val="0"/>
            <w:tcMar>
              <w:top w:w="75" w:type="dxa"/>
              <w:left w:w="75" w:type="dxa"/>
              <w:bottom w:w="75" w:type="dxa"/>
              <w:right w:w="75" w:type="dxa"/>
            </w:tcMar>
            <w:vAlign w:val="center"/>
          </w:tcPr>
          <w:p>
            <w:pPr>
              <w:widowControl/>
              <w:snapToGrid/>
              <w:spacing w:before="0" w:beforeAutospacing="0" w:after="0" w:afterAutospacing="0" w:line="240" w:lineRule="atLeast"/>
              <w:jc w:val="center"/>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1</w:t>
            </w:r>
          </w:p>
        </w:tc>
        <w:tc>
          <w:tcPr>
            <w:tcW w:w="2918" w:type="dxa"/>
            <w:noWrap w:val="0"/>
            <w:tcMar>
              <w:top w:w="75" w:type="dxa"/>
              <w:left w:w="75" w:type="dxa"/>
              <w:bottom w:w="75" w:type="dxa"/>
              <w:right w:w="75" w:type="dxa"/>
            </w:tcMar>
            <w:vAlign w:val="center"/>
          </w:tcPr>
          <w:p>
            <w:pPr>
              <w:widowControl/>
              <w:snapToGrid/>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实施违反突发事件应对措施的行为</w:t>
            </w:r>
          </w:p>
        </w:tc>
        <w:tc>
          <w:tcPr>
            <w:tcW w:w="3744" w:type="dxa"/>
            <w:noWrap w:val="0"/>
            <w:tcMar>
              <w:top w:w="75" w:type="dxa"/>
              <w:left w:w="75" w:type="dxa"/>
              <w:bottom w:w="75" w:type="dxa"/>
              <w:right w:w="75" w:type="dxa"/>
            </w:tcMar>
            <w:vAlign w:val="center"/>
          </w:tcPr>
          <w:p>
            <w:pPr>
              <w:pStyle w:val="2"/>
              <w:ind w:left="0" w:leftChars="0" w:firstLine="0" w:firstLineChars="0"/>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rPr>
              <w:t>1.</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rPr>
              <w:t>违反重大传染病疫情等突发事件应对措施</w:t>
            </w:r>
            <w:r>
              <w:rPr>
                <w:rStyle w:val="19"/>
                <w:rFonts w:hint="default" w:ascii="Times New Roman" w:hAnsi="Times New Roman" w:cs="Times New Roman"/>
                <w:b w:val="0"/>
                <w:i w:val="0"/>
                <w:caps w:val="0"/>
                <w:color w:val="auto"/>
                <w:spacing w:val="0"/>
                <w:w w:val="100"/>
                <w:kern w:val="0"/>
                <w:sz w:val="20"/>
                <w:szCs w:val="20"/>
                <w:highlight w:val="none"/>
                <w:lang w:val="en-US" w:eastAsia="zh-CN"/>
              </w:rPr>
              <w:t>；</w:t>
            </w:r>
          </w:p>
          <w:p>
            <w:pPr>
              <w:rPr>
                <w:rFonts w:hint="default" w:ascii="Times New Roman" w:hAnsi="Times New Roman" w:eastAsia="仿宋_GB2312" w:cs="Times New Roman"/>
                <w:color w:val="auto"/>
                <w:kern w:val="2"/>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rPr>
              <w:t>2.符合法律、法规、规章规定的处罚要件。</w:t>
            </w:r>
          </w:p>
        </w:tc>
        <w:tc>
          <w:tcPr>
            <w:tcW w:w="6809" w:type="dxa"/>
            <w:noWrap w:val="0"/>
            <w:tcMar>
              <w:top w:w="75" w:type="dxa"/>
              <w:left w:w="75" w:type="dxa"/>
              <w:bottom w:w="75" w:type="dxa"/>
              <w:right w:w="75" w:type="dxa"/>
            </w:tcMar>
            <w:vAlign w:val="center"/>
          </w:tcPr>
          <w:p>
            <w:pPr>
              <w:widowControl/>
              <w:snapToGrid/>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kern w:val="0"/>
                <w:sz w:val="20"/>
                <w:szCs w:val="20"/>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《中华人民共和国行政处罚法》第四十九条：发生重大传染病疫情等突发事件，为了控制、减轻和消除突发事件引起的社会危害，行政机关对违反突发事件应对措施的行为，依法快速、从重处罚。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9" w:hRule="atLeast"/>
          <w:jc w:val="center"/>
        </w:trPr>
        <w:tc>
          <w:tcPr>
            <w:tcW w:w="843" w:type="dxa"/>
            <w:noWrap w:val="0"/>
            <w:tcMar>
              <w:top w:w="75" w:type="dxa"/>
              <w:left w:w="75" w:type="dxa"/>
              <w:bottom w:w="75" w:type="dxa"/>
              <w:right w:w="75" w:type="dxa"/>
            </w:tcMar>
            <w:vAlign w:val="center"/>
          </w:tcPr>
          <w:p>
            <w:pPr>
              <w:widowControl/>
              <w:snapToGrid/>
              <w:spacing w:before="0" w:beforeAutospacing="0" w:after="0" w:afterAutospacing="0" w:line="240" w:lineRule="atLeast"/>
              <w:jc w:val="center"/>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2</w:t>
            </w:r>
          </w:p>
        </w:tc>
        <w:tc>
          <w:tcPr>
            <w:tcW w:w="2918" w:type="dxa"/>
            <w:noWrap w:val="0"/>
            <w:tcMar>
              <w:top w:w="75" w:type="dxa"/>
              <w:left w:w="75" w:type="dxa"/>
              <w:bottom w:w="75" w:type="dxa"/>
              <w:right w:w="75" w:type="dxa"/>
            </w:tcMar>
            <w:vAlign w:val="center"/>
          </w:tcPr>
          <w:p>
            <w:pPr>
              <w:widowControl/>
              <w:snapToGrid/>
              <w:spacing w:before="0" w:beforeAutospacing="0" w:after="0" w:afterAutospacing="0" w:line="240" w:lineRule="atLeast"/>
              <w:jc w:val="both"/>
              <w:textAlignment w:val="baseline"/>
              <w:rPr>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医疗保障经办机构、定点医药机构、个人骗取医疗保障基金</w:t>
            </w:r>
          </w:p>
        </w:tc>
        <w:tc>
          <w:tcPr>
            <w:tcW w:w="3744" w:type="dxa"/>
            <w:noWrap w:val="0"/>
            <w:tcMar>
              <w:top w:w="75" w:type="dxa"/>
              <w:left w:w="75" w:type="dxa"/>
              <w:bottom w:w="75" w:type="dxa"/>
              <w:right w:w="75" w:type="dxa"/>
            </w:tcMar>
            <w:vAlign w:val="center"/>
          </w:tcPr>
          <w:p>
            <w:pPr>
              <w:adjustRightInd w:val="0"/>
              <w:snapToGrid w:val="0"/>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Fonts w:hint="default" w:ascii="Times New Roman" w:hAnsi="Times New Roman" w:eastAsia="仿宋_GB2312" w:cs="Times New Roman"/>
                <w:color w:val="auto"/>
                <w:sz w:val="20"/>
                <w:szCs w:val="20"/>
                <w:highlight w:val="none"/>
                <w:lang w:val="en-US" w:eastAsia="zh-CN"/>
              </w:rPr>
              <w:t>下</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列情形作为从重情节考量：</w:t>
            </w:r>
          </w:p>
          <w:p>
            <w:pPr>
              <w:adjustRightInd w:val="0"/>
              <w:snapToGrid w:val="0"/>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1.</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违法情节恶劣；</w:t>
            </w:r>
          </w:p>
          <w:p>
            <w:pPr>
              <w:adjustRightInd w:val="0"/>
              <w:snapToGrid w:val="0"/>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2.</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造成基金重大损失、重大社会负面影响等严重危害后果；</w:t>
            </w:r>
          </w:p>
          <w:p>
            <w:pPr>
              <w:adjustRightInd w:val="0"/>
              <w:snapToGrid w:val="0"/>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3.</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拒不改正违法行为；</w:t>
            </w:r>
          </w:p>
          <w:p>
            <w:pPr>
              <w:adjustRightInd w:val="0"/>
              <w:snapToGrid w:val="0"/>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4.</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一年内实施两次以上同一性质医疗保障违法行为；</w:t>
            </w:r>
          </w:p>
          <w:p>
            <w:pPr>
              <w:adjustRightInd w:val="0"/>
              <w:snapToGrid w:val="0"/>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5.</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故意转移、隐匿、毁坏或伪造证据或其他妨碍、阻挠或者抗拒执法人员依法行使调查、处理职权行为；</w:t>
            </w:r>
          </w:p>
          <w:p>
            <w:pPr>
              <w:adjustRightInd w:val="0"/>
              <w:snapToGrid w:val="0"/>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6.</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对举报投诉人、证人进行打击报复；</w:t>
            </w:r>
          </w:p>
          <w:p>
            <w:pPr>
              <w:adjustRightInd w:val="0"/>
              <w:snapToGrid w:val="0"/>
              <w:rPr>
                <w:rFonts w:hint="default" w:ascii="Times New Roman" w:hAnsi="Times New Roman" w:eastAsia="仿宋_GB2312" w:cs="Times New Roman"/>
                <w:color w:val="auto"/>
                <w:sz w:val="20"/>
                <w:szCs w:val="20"/>
                <w:highlight w:val="none"/>
                <w:lang w:val="en" w:eastAsia="zh-CN"/>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7.</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法律、法规、规章规定应当从重处罚的其他情形。</w:t>
            </w:r>
          </w:p>
        </w:tc>
        <w:tc>
          <w:tcPr>
            <w:tcW w:w="6809" w:type="dxa"/>
            <w:noWrap w:val="0"/>
            <w:tcMar>
              <w:top w:w="75" w:type="dxa"/>
              <w:left w:w="75" w:type="dxa"/>
              <w:bottom w:w="75" w:type="dxa"/>
              <w:right w:w="75" w:type="dxa"/>
            </w:tcMar>
            <w:vAlign w:val="center"/>
          </w:tcPr>
          <w:p>
            <w:pPr>
              <w:adjustRightInd w:val="0"/>
              <w:snapToGrid w:val="0"/>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1.国家医疗保障局《</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规范医疗保障基金使用监督管理行政处罚裁量权办法》第十六条：</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有下列情形</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之一的，医疗保障行政部门应当从重处罚：（一）违法情节恶劣，造成严重危害后果的；（二）责令改正拒不改正，或者一年内实施两次以上同一性质违法行为的；（三）妨碍、阻挠或者抗拒执法人员依法调查、处理其违法行为的；（四）故意转移、隐匿、毁坏或伪造证据，或者对举报投诉人、证人打击报复的；（五）法律、法规、规章规定应当从重处罚的其他情形。</w:t>
            </w:r>
          </w:p>
          <w:p>
            <w:pPr>
              <w:adjustRightInd w:val="0"/>
              <w:snapToGrid w:val="0"/>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2.</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四川省医疗保障局《关于印发</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四川省医疗保障基金监管行政处罚裁量基准</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的通知》第十三条：下列情形，裁量时应当作为从重情节。（一）违法情节恶劣的；（二）造成基金重大损失、重大社会负面影响等严重危害后果的；（三）行为经医疗保障行政部门责令改正，逾期拒不改正，经查实认定为违法行为的；（四）一年内实施两次以上同一性质医疗保障违法行为的；（五）故意转移、隐匿、毁坏或伪造证据或其他妨碍、阻挠或者抗拒执法人员依法行使调查、处理职权行为的；（六）对举报投诉人、证人进行打击报复的；（七）法律、法规、规章规定应当从重处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4" w:hRule="atLeast"/>
          <w:jc w:val="center"/>
        </w:trPr>
        <w:tc>
          <w:tcPr>
            <w:tcW w:w="843" w:type="dxa"/>
            <w:noWrap w:val="0"/>
            <w:tcMar>
              <w:top w:w="75" w:type="dxa"/>
              <w:left w:w="75" w:type="dxa"/>
              <w:bottom w:w="75" w:type="dxa"/>
              <w:right w:w="75" w:type="dxa"/>
            </w:tcMar>
            <w:vAlign w:val="center"/>
          </w:tcPr>
          <w:p>
            <w:pPr>
              <w:widowControl/>
              <w:snapToGrid/>
              <w:spacing w:before="0" w:beforeAutospacing="0" w:after="0" w:afterAutospacing="0" w:line="240" w:lineRule="atLeast"/>
              <w:jc w:val="center"/>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3</w:t>
            </w:r>
          </w:p>
        </w:tc>
        <w:tc>
          <w:tcPr>
            <w:tcW w:w="2918" w:type="dxa"/>
            <w:noWrap w:val="0"/>
            <w:tcMar>
              <w:top w:w="75" w:type="dxa"/>
              <w:left w:w="75" w:type="dxa"/>
              <w:bottom w:w="75" w:type="dxa"/>
              <w:right w:w="75" w:type="dxa"/>
            </w:tcMar>
            <w:vAlign w:val="center"/>
          </w:tcPr>
          <w:p>
            <w:pPr>
              <w:pStyle w:val="2"/>
              <w:numPr>
                <w:ilvl w:val="0"/>
                <w:numId w:val="0"/>
              </w:numPr>
              <w:ind w:left="0" w:leftChars="0" w:firstLine="0" w:firstLineChars="0"/>
              <w:rPr>
                <w:rFonts w:hint="default" w:ascii="Times New Roman" w:hAnsi="Times New Roman" w:eastAsia="仿宋_GB2312" w:cs="Times New Roman"/>
                <w:color w:val="auto"/>
                <w:kern w:val="2"/>
                <w:sz w:val="20"/>
                <w:szCs w:val="20"/>
                <w:highlight w:val="none"/>
                <w:lang w:val="en-US" w:eastAsia="zh-CN" w:bidi="ar-SA"/>
              </w:rPr>
            </w:pPr>
            <w:r>
              <w:rPr>
                <w:rFonts w:hint="default" w:ascii="Times New Roman" w:hAnsi="Times New Roman" w:eastAsia="仿宋_GB2312" w:cs="Times New Roman"/>
                <w:color w:val="auto"/>
                <w:sz w:val="20"/>
                <w:szCs w:val="20"/>
                <w:highlight w:val="none"/>
                <w:lang w:val="en-US" w:eastAsia="zh-CN"/>
              </w:rPr>
              <w:t>定点医药机构实施分解住院、挂床住院等违法行为</w:t>
            </w:r>
          </w:p>
        </w:tc>
        <w:tc>
          <w:tcPr>
            <w:tcW w:w="3744" w:type="dxa"/>
            <w:noWrap w:val="0"/>
            <w:tcMar>
              <w:top w:w="75" w:type="dxa"/>
              <w:left w:w="75" w:type="dxa"/>
              <w:bottom w:w="75" w:type="dxa"/>
              <w:right w:w="75" w:type="dxa"/>
            </w:tcMar>
            <w:vAlign w:val="center"/>
          </w:tcPr>
          <w:p>
            <w:pPr>
              <w:adjustRightInd w:val="0"/>
              <w:snapToGrid w:val="0"/>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Fonts w:hint="default" w:ascii="Times New Roman" w:hAnsi="Times New Roman" w:eastAsia="仿宋_GB2312" w:cs="Times New Roman"/>
                <w:color w:val="auto"/>
                <w:sz w:val="20"/>
                <w:szCs w:val="20"/>
                <w:highlight w:val="none"/>
                <w:lang w:val="en-US" w:eastAsia="zh-CN"/>
              </w:rPr>
              <w:t>下</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列情形作为从重情节考量：</w:t>
            </w:r>
          </w:p>
          <w:p>
            <w:pPr>
              <w:adjustRightInd w:val="0"/>
              <w:snapToGrid w:val="0"/>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1.</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违法情节恶劣；</w:t>
            </w:r>
          </w:p>
          <w:p>
            <w:pPr>
              <w:adjustRightInd w:val="0"/>
              <w:snapToGrid w:val="0"/>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2.</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造成基金重大损失、重大社会负面影响等严重危害后果；</w:t>
            </w:r>
          </w:p>
          <w:p>
            <w:pPr>
              <w:adjustRightInd w:val="0"/>
              <w:snapToGrid w:val="0"/>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3.</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拒不改正违法行为；</w:t>
            </w:r>
          </w:p>
          <w:p>
            <w:pPr>
              <w:adjustRightInd w:val="0"/>
              <w:snapToGrid w:val="0"/>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4.</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一年内实施两次以上同一性质医疗保障违法行为；</w:t>
            </w:r>
          </w:p>
          <w:p>
            <w:pPr>
              <w:adjustRightInd w:val="0"/>
              <w:snapToGrid w:val="0"/>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5.</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故意转移、隐匿、毁坏或伪造证据或其他妨碍、阻挠或者抗拒执法人员依法行使调查、处理职权行为；</w:t>
            </w:r>
          </w:p>
          <w:p>
            <w:pPr>
              <w:adjustRightInd w:val="0"/>
              <w:snapToGrid w:val="0"/>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6.</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对举报投诉人、证人进行打击报复；</w:t>
            </w:r>
          </w:p>
          <w:p>
            <w:pPr>
              <w:adjustRightInd w:val="0"/>
              <w:snapToGrid w:val="0"/>
              <w:rPr>
                <w:rFonts w:hint="default" w:ascii="Times New Roman" w:hAnsi="Times New Roman" w:eastAsia="仿宋_GB2312" w:cs="Times New Roman"/>
                <w:color w:val="auto"/>
                <w:kern w:val="2"/>
                <w:sz w:val="20"/>
                <w:szCs w:val="20"/>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7.</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法律、法规、规章规定应当从重处罚的其他情形。</w:t>
            </w:r>
          </w:p>
        </w:tc>
        <w:tc>
          <w:tcPr>
            <w:tcW w:w="6809" w:type="dxa"/>
            <w:noWrap w:val="0"/>
            <w:tcMar>
              <w:top w:w="75" w:type="dxa"/>
              <w:left w:w="75" w:type="dxa"/>
              <w:bottom w:w="75" w:type="dxa"/>
              <w:right w:w="75" w:type="dxa"/>
            </w:tcMar>
            <w:vAlign w:val="center"/>
          </w:tcPr>
          <w:p>
            <w:pPr>
              <w:adjustRightInd w:val="0"/>
              <w:snapToGrid w:val="0"/>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1.国家医疗保障局《</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规范医疗保障基金使用监督管理行政处罚裁量权办法》第十六条：</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有下列情形</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之一的，医疗保障行政部门应当从重处罚：（一）违法情节恶劣，造成严重危害后果的；（二）责令改正拒不改正，或者一年内实施两次以上同一性质违法行为的；（三）妨碍、阻挠或者抗拒执法人员依法调查、处理其违法行为的；（四）故意转移、隐匿、毁坏或伪造证据，或者对举报投诉人、证人打击报复的；（五）法律、法规、规章规定应当从重处罚的其他情形。</w:t>
            </w:r>
          </w:p>
          <w:p>
            <w:pPr>
              <w:adjustRightInd w:val="0"/>
              <w:snapToGrid w:val="0"/>
              <w:rPr>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2.</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四川省医疗保障局《关于印发</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四川省医疗保障基金监管行政处罚裁量基准</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的通知》第十三条：下列情形，裁量时应当作为从重情节。（一）违法情节恶劣的；（二）造成基金重大损失、重大社会负面影响等严重危害后果的；（三）行为经医疗保障行政部门责令改正，逾期拒不改正，经查实认定为违法行为的；（四）一年内实施两次以上同一性质医疗保障违法行为的；（五）故意转移、隐匿、毁坏或伪造证据或其他妨碍、阻挠或者抗拒执法人员依法行使调查、处理职权行为的；（六）对举报投诉人、证人进行打击报复的；（七）法律、法规、规章规定应当从重处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4" w:hRule="atLeast"/>
          <w:jc w:val="center"/>
        </w:trPr>
        <w:tc>
          <w:tcPr>
            <w:tcW w:w="843" w:type="dxa"/>
            <w:noWrap w:val="0"/>
            <w:tcMar>
              <w:top w:w="75" w:type="dxa"/>
              <w:left w:w="75" w:type="dxa"/>
              <w:bottom w:w="75" w:type="dxa"/>
              <w:right w:w="75" w:type="dxa"/>
            </w:tcMar>
            <w:vAlign w:val="center"/>
          </w:tcPr>
          <w:p>
            <w:pPr>
              <w:widowControl/>
              <w:snapToGrid/>
              <w:spacing w:before="0" w:beforeAutospacing="0" w:after="0" w:afterAutospacing="0" w:line="240" w:lineRule="atLeast"/>
              <w:jc w:val="center"/>
              <w:textAlignment w:val="baseline"/>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4</w:t>
            </w:r>
          </w:p>
        </w:tc>
        <w:tc>
          <w:tcPr>
            <w:tcW w:w="2918" w:type="dxa"/>
            <w:noWrap w:val="0"/>
            <w:tcMar>
              <w:top w:w="75" w:type="dxa"/>
              <w:left w:w="75" w:type="dxa"/>
              <w:bottom w:w="75" w:type="dxa"/>
              <w:right w:w="75" w:type="dxa"/>
            </w:tcMar>
            <w:vAlign w:val="center"/>
          </w:tcPr>
          <w:p>
            <w:pPr>
              <w:pStyle w:val="2"/>
              <w:numPr>
                <w:ilvl w:val="0"/>
                <w:numId w:val="0"/>
              </w:numPr>
              <w:ind w:left="0" w:leftChars="0" w:firstLine="0" w:firstLineChars="0"/>
              <w:jc w:val="both"/>
              <w:rPr>
                <w:rFonts w:hint="default" w:ascii="Times New Roman" w:hAnsi="Times New Roman" w:eastAsia="仿宋_GB2312" w:cs="Times New Roman"/>
                <w:color w:val="auto"/>
                <w:sz w:val="20"/>
                <w:szCs w:val="20"/>
                <w:highlight w:val="none"/>
                <w:lang w:val="en-US" w:eastAsia="zh-CN"/>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rPr>
              <w:t>定点医药机构存在未建立医疗保障基金使用内部管理制度，或者没有专门机构或者人员负责医疗保障基金使用管理工作等情形</w:t>
            </w:r>
          </w:p>
        </w:tc>
        <w:tc>
          <w:tcPr>
            <w:tcW w:w="3744" w:type="dxa"/>
            <w:noWrap w:val="0"/>
            <w:tcMar>
              <w:top w:w="75" w:type="dxa"/>
              <w:left w:w="75" w:type="dxa"/>
              <w:bottom w:w="75" w:type="dxa"/>
              <w:right w:w="75" w:type="dxa"/>
            </w:tcMar>
            <w:vAlign w:val="center"/>
          </w:tcPr>
          <w:p>
            <w:pPr>
              <w:adjustRightInd w:val="0"/>
              <w:snapToGrid w:val="0"/>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下列情形作为从重情节考量：</w:t>
            </w:r>
          </w:p>
          <w:p>
            <w:pPr>
              <w:adjustRightInd w:val="0"/>
              <w:snapToGrid w:val="0"/>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1.</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存在</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《医疗保障基金使用监督管理条例》</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第三十九条规定情形，有3项或</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3</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项以上情形经责令整改后拒不整改，或具有其他违法情节恶劣的情形；</w:t>
            </w:r>
          </w:p>
          <w:p>
            <w:pPr>
              <w:adjustRightInd w:val="0"/>
              <w:snapToGrid w:val="0"/>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2.</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造成基金重大损失、重大社会负面影响等严重危害后果；</w:t>
            </w:r>
          </w:p>
          <w:p>
            <w:pPr>
              <w:adjustRightInd w:val="0"/>
              <w:snapToGrid w:val="0"/>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3.</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故意转移、隐匿、毁坏或伪造证据或其他妨碍、阻挠或者抗拒执法人员依法行使调查、处理职权行为；</w:t>
            </w:r>
          </w:p>
          <w:p>
            <w:pPr>
              <w:adjustRightInd w:val="0"/>
              <w:snapToGrid w:val="0"/>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4.</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对举报投诉人、证人进行打击报复；</w:t>
            </w:r>
          </w:p>
          <w:p>
            <w:pPr>
              <w:adjustRightInd w:val="0"/>
              <w:snapToGrid w:val="0"/>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5.</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法律、法规、规章规定应当从重处罚的其他情形。</w:t>
            </w:r>
          </w:p>
        </w:tc>
        <w:tc>
          <w:tcPr>
            <w:tcW w:w="6809" w:type="dxa"/>
            <w:noWrap w:val="0"/>
            <w:tcMar>
              <w:top w:w="75" w:type="dxa"/>
              <w:left w:w="75" w:type="dxa"/>
              <w:bottom w:w="75" w:type="dxa"/>
              <w:right w:w="75" w:type="dxa"/>
            </w:tcMar>
            <w:vAlign w:val="center"/>
          </w:tcPr>
          <w:p>
            <w:pPr>
              <w:adjustRightInd w:val="0"/>
              <w:snapToGrid w:val="0"/>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1.《医疗保障基金使用监督管理条例》</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第三十九条</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定点医药机构有下列情形之一的，由医疗保障行政部门责令改正，并可以约谈有关负责人；拒不改正的，处1万元以上5万元以下的罚款</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w:t>
            </w:r>
          </w:p>
          <w:p>
            <w:pPr>
              <w:adjustRightInd w:val="0"/>
              <w:snapToGrid w:val="0"/>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2.国家医疗保障局《</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规范医疗保障基金使用监督管理行政处罚裁量权办法》第十六条：</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有下列情形</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之一的，医疗保障行政部门应当从重处罚</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w:t>
            </w:r>
          </w:p>
          <w:p>
            <w:pPr>
              <w:adjustRightInd w:val="0"/>
              <w:snapToGrid w:val="0"/>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3.</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四川省医疗保障局《关于印发</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四川省医疗保障基金监管行政处罚裁量基准</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的通知》第十三条：下列情形，裁量时应当作为从重情节。（一）违法情节恶劣的；（二）造成基金重大损失、重大社会负面影响等严重危害后果的；（三）行为经医疗保障行政部门责令改正，逾期拒不改正，经查实认定为违法行为的；（四）一年内实施两次以上同一性质医疗保障违法行为的；（五）故意转移、隐匿、毁坏或伪造证据或其他妨碍、阻挠或者抗拒执法人员依法行使调查、处理职权行为的；（六）对举报投诉人、证人进行打击报复的；（七）法律、法规、规章规定应当从重处罚的其他情形。</w:t>
            </w:r>
          </w:p>
          <w:p>
            <w:pPr>
              <w:adjustRightInd w:val="0"/>
              <w:snapToGrid w:val="0"/>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pP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4.</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四川省医疗保障局《关于印发</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四川省医疗保障基金监管行政处罚裁量基准</w:t>
            </w:r>
            <w:r>
              <w:rPr>
                <w:rStyle w:val="19"/>
                <w:rFonts w:hint="default" w:ascii="Times New Roman" w:hAnsi="Times New Roman" w:eastAsia="仿宋_GB2312" w:cs="Times New Roman"/>
                <w:b w:val="0"/>
                <w:i w:val="0"/>
                <w:caps w:val="0"/>
                <w:color w:val="auto"/>
                <w:spacing w:val="0"/>
                <w:w w:val="100"/>
                <w:kern w:val="0"/>
                <w:sz w:val="20"/>
                <w:szCs w:val="20"/>
                <w:highlight w:val="none"/>
                <w:lang w:val="en" w:eastAsia="zh-CN" w:bidi="ar-SA"/>
              </w:rPr>
              <w:t>〉</w:t>
            </w:r>
            <w:r>
              <w:rPr>
                <w:rStyle w:val="19"/>
                <w:rFonts w:hint="default" w:ascii="Times New Roman" w:hAnsi="Times New Roman" w:eastAsia="仿宋_GB2312" w:cs="Times New Roman"/>
                <w:b w:val="0"/>
                <w:i w:val="0"/>
                <w:caps w:val="0"/>
                <w:color w:val="auto"/>
                <w:spacing w:val="0"/>
                <w:w w:val="100"/>
                <w:kern w:val="0"/>
                <w:sz w:val="20"/>
                <w:szCs w:val="20"/>
                <w:highlight w:val="none"/>
                <w:lang w:val="en-US" w:eastAsia="zh-CN" w:bidi="ar-SA"/>
              </w:rPr>
              <w:t>的通知》第十八条：违法行为符合《基金监管条例》第三十九条规定情形且拒不改正的，仅具有一项情形，作为从轻情节；同时具有3项以上情形，作为从重情节；并按照以下裁量基准确定罚款数额……</w:t>
            </w:r>
          </w:p>
        </w:tc>
      </w:tr>
    </w:tbl>
    <w:p>
      <w:pPr>
        <w:pStyle w:val="2"/>
        <w:rPr>
          <w:rFonts w:hint="default" w:ascii="Times New Roman" w:hAnsi="Times New Roman" w:cs="Times New Roman"/>
          <w:color w:val="auto"/>
          <w:highlight w:val="none"/>
          <w:lang w:val="en-US" w:eastAsia="zh-CN"/>
        </w:rPr>
        <w:sectPr>
          <w:footerReference r:id="rId3" w:type="default"/>
          <w:pgSz w:w="16838" w:h="11906" w:orient="landscape"/>
          <w:pgMar w:top="1440" w:right="1800" w:bottom="1440" w:left="1800" w:header="851" w:footer="992" w:gutter="0"/>
          <w:pgNumType w:fmt="decimal" w:start="23"/>
          <w:cols w:space="425" w:num="1"/>
          <w:docGrid w:type="lines" w:linePitch="312" w:charSpace="0"/>
        </w:sectPr>
      </w:pPr>
    </w:p>
    <w:p>
      <w:pPr>
        <w:pStyle w:val="2"/>
        <w:ind w:left="0" w:leftChars="0" w:firstLine="0" w:firstLineChars="0"/>
        <w:rPr>
          <w:rFonts w:hint="default" w:ascii="Times New Roman" w:hAnsi="Times New Roman" w:cs="Times New Roman"/>
          <w:color w:val="auto"/>
          <w:highlight w:val="none"/>
          <w:lang w:val="en-US" w:eastAsia="zh-CN"/>
        </w:rPr>
        <w:sectPr>
          <w:footerReference r:id="rId4" w:type="default"/>
          <w:pgSz w:w="16838" w:h="11906" w:orient="landscape"/>
          <w:pgMar w:top="1440" w:right="1800" w:bottom="1440" w:left="1800" w:header="851" w:footer="1134" w:gutter="0"/>
          <w:pgNumType w:fmt="decimal" w:start="23"/>
          <w:cols w:space="425" w:num="1"/>
          <w:docGrid w:type="lines" w:linePitch="312" w:charSpace="0"/>
        </w:sectPr>
      </w:pPr>
    </w:p>
    <w:p>
      <w:pPr>
        <w:pStyle w:val="2"/>
        <w:ind w:left="0" w:leftChars="0" w:firstLine="0" w:firstLineChars="0"/>
        <w:rPr>
          <w:rFonts w:hint="default" w:ascii="Times New Roman" w:hAnsi="Times New Roman" w:eastAsia="黑体" w:cs="Times New Roman"/>
          <w:color w:val="auto"/>
          <w:sz w:val="32"/>
          <w:szCs w:val="32"/>
          <w:highlight w:val="none"/>
          <w:lang w:val="en-US" w:eastAsia="zh-CN"/>
        </w:rPr>
      </w:pPr>
    </w:p>
    <w:p>
      <w:pPr>
        <w:pStyle w:val="2"/>
        <w:ind w:left="0" w:leftChars="0" w:firstLine="0" w:firstLineChars="0"/>
        <w:rPr>
          <w:rFonts w:hint="default" w:ascii="Times New Roman" w:hAnsi="Times New Roman" w:eastAsia="黑体" w:cs="Times New Roman"/>
          <w:color w:val="auto"/>
          <w:sz w:val="32"/>
          <w:szCs w:val="32"/>
          <w:highlight w:val="none"/>
          <w:lang w:val="en-US" w:eastAsia="zh-CN"/>
        </w:rPr>
      </w:pPr>
    </w:p>
    <w:p>
      <w:pPr>
        <w:pStyle w:val="2"/>
        <w:ind w:left="0" w:leftChars="0" w:firstLine="0" w:firstLineChars="0"/>
        <w:rPr>
          <w:rFonts w:hint="default" w:ascii="Times New Roman" w:hAnsi="Times New Roman" w:eastAsia="黑体" w:cs="Times New Roman"/>
          <w:color w:val="auto"/>
          <w:sz w:val="32"/>
          <w:szCs w:val="32"/>
          <w:highlight w:val="none"/>
          <w:lang w:val="en-US" w:eastAsia="zh-CN"/>
        </w:rPr>
      </w:pPr>
    </w:p>
    <w:p>
      <w:pPr>
        <w:pStyle w:val="2"/>
        <w:ind w:left="0" w:leftChars="0" w:firstLine="0" w:firstLineChars="0"/>
        <w:rPr>
          <w:rFonts w:hint="default" w:ascii="Times New Roman" w:hAnsi="Times New Roman" w:eastAsia="黑体" w:cs="Times New Roman"/>
          <w:color w:val="auto"/>
          <w:sz w:val="32"/>
          <w:szCs w:val="32"/>
          <w:highlight w:val="none"/>
          <w:lang w:val="en-US" w:eastAsia="zh-CN"/>
        </w:rPr>
      </w:pPr>
    </w:p>
    <w:p>
      <w:pPr>
        <w:pStyle w:val="2"/>
        <w:ind w:left="0" w:leftChars="0" w:firstLine="0" w:firstLineChars="0"/>
        <w:rPr>
          <w:rFonts w:hint="default" w:ascii="Times New Roman" w:hAnsi="Times New Roman" w:eastAsia="黑体" w:cs="Times New Roman"/>
          <w:color w:val="auto"/>
          <w:sz w:val="32"/>
          <w:szCs w:val="32"/>
          <w:highlight w:val="none"/>
          <w:lang w:val="en-US" w:eastAsia="zh-CN"/>
        </w:rPr>
      </w:pPr>
    </w:p>
    <w:p>
      <w:pPr>
        <w:pStyle w:val="2"/>
        <w:ind w:left="0" w:leftChars="0" w:firstLine="0" w:firstLineChars="0"/>
        <w:rPr>
          <w:rFonts w:hint="default" w:ascii="Times New Roman" w:hAnsi="Times New Roman" w:eastAsia="黑体" w:cs="Times New Roman"/>
          <w:color w:val="auto"/>
          <w:sz w:val="32"/>
          <w:szCs w:val="32"/>
          <w:highlight w:val="none"/>
          <w:lang w:val="en-US" w:eastAsia="zh-CN"/>
        </w:rPr>
      </w:pPr>
    </w:p>
    <w:p>
      <w:pPr>
        <w:pStyle w:val="2"/>
        <w:ind w:left="0" w:leftChars="0" w:firstLine="0" w:firstLineChars="0"/>
        <w:rPr>
          <w:rFonts w:hint="default" w:ascii="Times New Roman" w:hAnsi="Times New Roman" w:eastAsia="黑体" w:cs="Times New Roman"/>
          <w:color w:val="auto"/>
          <w:sz w:val="32"/>
          <w:szCs w:val="32"/>
          <w:highlight w:val="none"/>
          <w:lang w:val="en-US" w:eastAsia="zh-CN"/>
        </w:rPr>
      </w:pPr>
    </w:p>
    <w:p>
      <w:pPr>
        <w:pStyle w:val="2"/>
        <w:ind w:left="0" w:leftChars="0" w:firstLine="0" w:firstLineChars="0"/>
        <w:rPr>
          <w:rFonts w:hint="default" w:ascii="Times New Roman" w:hAnsi="Times New Roman" w:eastAsia="黑体" w:cs="Times New Roman"/>
          <w:color w:val="auto"/>
          <w:sz w:val="32"/>
          <w:szCs w:val="32"/>
          <w:highlight w:val="none"/>
          <w:lang w:val="en-US" w:eastAsia="zh-CN"/>
        </w:rPr>
      </w:pPr>
    </w:p>
    <w:p>
      <w:pPr>
        <w:pStyle w:val="2"/>
        <w:ind w:left="0" w:leftChars="0" w:firstLine="0" w:firstLineChars="0"/>
        <w:rPr>
          <w:rFonts w:hint="default" w:ascii="Times New Roman" w:hAnsi="Times New Roman" w:eastAsia="黑体" w:cs="Times New Roman"/>
          <w:color w:val="auto"/>
          <w:sz w:val="32"/>
          <w:szCs w:val="32"/>
          <w:highlight w:val="none"/>
          <w:lang w:val="en-US" w:eastAsia="zh-CN"/>
        </w:rPr>
      </w:pPr>
    </w:p>
    <w:p>
      <w:pPr>
        <w:pStyle w:val="2"/>
        <w:ind w:left="0" w:leftChars="0" w:firstLine="0" w:firstLineChars="0"/>
        <w:rPr>
          <w:rFonts w:hint="default" w:ascii="Times New Roman" w:hAnsi="Times New Roman" w:eastAsia="黑体" w:cs="Times New Roman"/>
          <w:color w:val="auto"/>
          <w:sz w:val="32"/>
          <w:szCs w:val="32"/>
          <w:highlight w:val="none"/>
          <w:lang w:val="en-US" w:eastAsia="zh-CN"/>
        </w:rPr>
      </w:pPr>
    </w:p>
    <w:p>
      <w:pPr>
        <w:pStyle w:val="2"/>
        <w:ind w:left="0" w:leftChars="0" w:firstLine="0" w:firstLineChars="0"/>
        <w:rPr>
          <w:rFonts w:hint="default" w:ascii="Times New Roman" w:hAnsi="Times New Roman" w:eastAsia="黑体" w:cs="Times New Roman"/>
          <w:color w:val="auto"/>
          <w:sz w:val="32"/>
          <w:szCs w:val="32"/>
          <w:highlight w:val="none"/>
          <w:lang w:val="en-US" w:eastAsia="zh-CN"/>
        </w:rPr>
      </w:pPr>
    </w:p>
    <w:p>
      <w:pPr>
        <w:pStyle w:val="2"/>
        <w:ind w:left="0" w:leftChars="0" w:firstLine="0" w:firstLineChars="0"/>
        <w:rPr>
          <w:rFonts w:hint="default" w:ascii="Times New Roman" w:hAnsi="Times New Roman" w:eastAsia="黑体" w:cs="Times New Roman"/>
          <w:color w:val="auto"/>
          <w:sz w:val="32"/>
          <w:szCs w:val="32"/>
          <w:highlight w:val="none"/>
          <w:lang w:val="en-US" w:eastAsia="zh-CN"/>
        </w:rPr>
      </w:pPr>
    </w:p>
    <w:p>
      <w:pPr>
        <w:pStyle w:val="2"/>
        <w:ind w:left="0" w:leftChars="0" w:firstLine="0" w:firstLineChars="0"/>
        <w:rPr>
          <w:rFonts w:hint="default" w:ascii="Times New Roman" w:hAnsi="Times New Roman" w:eastAsia="黑体" w:cs="Times New Roman"/>
          <w:color w:val="auto"/>
          <w:sz w:val="32"/>
          <w:szCs w:val="32"/>
          <w:highlight w:val="none"/>
          <w:lang w:val="en-US" w:eastAsia="zh-CN"/>
        </w:rPr>
      </w:pPr>
    </w:p>
    <w:p>
      <w:pPr>
        <w:pStyle w:val="2"/>
        <w:ind w:left="0" w:leftChars="0" w:firstLine="0" w:firstLineChars="0"/>
        <w:rPr>
          <w:rFonts w:hint="default" w:ascii="Times New Roman" w:hAnsi="Times New Roman" w:eastAsia="黑体" w:cs="Times New Roman"/>
          <w:color w:val="auto"/>
          <w:sz w:val="32"/>
          <w:szCs w:val="32"/>
          <w:highlight w:val="none"/>
          <w:lang w:val="en-US" w:eastAsia="zh-CN"/>
        </w:rPr>
      </w:pPr>
    </w:p>
    <w:p>
      <w:pPr>
        <w:pStyle w:val="2"/>
        <w:ind w:left="0" w:leftChars="0" w:firstLine="0" w:firstLineChars="0"/>
        <w:rPr>
          <w:rFonts w:hint="default" w:ascii="Times New Roman" w:hAnsi="Times New Roman" w:eastAsia="黑体" w:cs="Times New Roman"/>
          <w:color w:val="auto"/>
          <w:sz w:val="32"/>
          <w:szCs w:val="32"/>
          <w:highlight w:val="none"/>
          <w:lang w:val="en-US" w:eastAsia="zh-CN"/>
        </w:rPr>
      </w:pPr>
    </w:p>
    <w:p>
      <w:pPr>
        <w:pStyle w:val="2"/>
        <w:ind w:left="0" w:leftChars="0" w:firstLine="0" w:firstLineChars="0"/>
        <w:rPr>
          <w:rFonts w:hint="default" w:ascii="Times New Roman" w:hAnsi="Times New Roman" w:eastAsia="黑体" w:cs="Times New Roman"/>
          <w:color w:val="auto"/>
          <w:sz w:val="32"/>
          <w:szCs w:val="32"/>
          <w:highlight w:val="none"/>
          <w:lang w:val="en-US" w:eastAsia="zh-CN"/>
        </w:rPr>
      </w:pPr>
    </w:p>
    <w:p>
      <w:pPr>
        <w:pStyle w:val="2"/>
        <w:ind w:left="0" w:leftChars="0" w:firstLine="0" w:firstLineChars="0"/>
        <w:rPr>
          <w:rFonts w:hint="default" w:ascii="Times New Roman" w:hAnsi="Times New Roman" w:eastAsia="黑体" w:cs="Times New Roman"/>
          <w:color w:val="auto"/>
          <w:sz w:val="32"/>
          <w:szCs w:val="32"/>
          <w:highlight w:val="none"/>
          <w:lang w:val="en-US" w:eastAsia="zh-CN"/>
        </w:rPr>
      </w:pPr>
    </w:p>
    <w:p>
      <w:pPr>
        <w:pStyle w:val="2"/>
        <w:ind w:left="0" w:leftChars="0" w:firstLine="0" w:firstLineChars="0"/>
        <w:rPr>
          <w:rFonts w:hint="default" w:ascii="Times New Roman" w:hAnsi="Times New Roman" w:eastAsia="黑体" w:cs="Times New Roman"/>
          <w:color w:val="auto"/>
          <w:sz w:val="32"/>
          <w:szCs w:val="32"/>
          <w:highlight w:val="none"/>
          <w:lang w:val="en-US" w:eastAsia="zh-CN"/>
        </w:rPr>
      </w:pPr>
      <w:bookmarkStart w:id="0" w:name="_GoBack"/>
      <w:bookmarkEnd w:id="0"/>
    </w:p>
    <w:p>
      <w:pPr>
        <w:pStyle w:val="2"/>
        <w:ind w:left="0" w:leftChars="0" w:firstLine="0" w:firstLineChars="0"/>
        <w:rPr>
          <w:rFonts w:hint="default" w:ascii="Times New Roman" w:hAnsi="Times New Roman" w:eastAsia="黑体" w:cs="Times New Roman"/>
          <w:color w:val="auto"/>
          <w:sz w:val="32"/>
          <w:szCs w:val="32"/>
          <w:highlight w:val="none"/>
          <w:lang w:val="en-US" w:eastAsia="zh-CN"/>
        </w:rPr>
      </w:pPr>
    </w:p>
    <w:p>
      <w:pPr>
        <w:pStyle w:val="2"/>
        <w:ind w:left="0" w:leftChars="0" w:firstLine="0" w:firstLineChars="0"/>
        <w:rPr>
          <w:rFonts w:hint="default" w:ascii="Times New Roman" w:hAnsi="Times New Roman" w:eastAsia="黑体" w:cs="Times New Roman"/>
          <w:color w:val="auto"/>
          <w:sz w:val="32"/>
          <w:szCs w:val="32"/>
          <w:highlight w:val="none"/>
          <w:lang w:val="en-US" w:eastAsia="zh-CN"/>
        </w:rPr>
      </w:pPr>
    </w:p>
    <w:p>
      <w:pPr>
        <w:pStyle w:val="2"/>
        <w:ind w:left="0" w:leftChars="0" w:firstLine="0" w:firstLineChars="0"/>
        <w:rPr>
          <w:rFonts w:hint="default" w:ascii="Times New Roman" w:hAnsi="Times New Roman"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信息公开选项：</w:t>
      </w:r>
      <w:r>
        <w:rPr>
          <w:rFonts w:hint="default" w:ascii="Times New Roman" w:hAnsi="Times New Roman" w:eastAsia="方正小标宋简体" w:cs="Times New Roman"/>
          <w:color w:val="auto"/>
          <w:sz w:val="32"/>
          <w:szCs w:val="32"/>
          <w:highlight w:val="none"/>
          <w:lang w:val="en-US" w:eastAsia="zh-CN"/>
        </w:rPr>
        <w:t>主动公开</w:t>
      </w:r>
    </w:p>
    <w:sectPr>
      <w:footerReference r:id="rId5" w:type="default"/>
      <w:pgSz w:w="11906" w:h="16838"/>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6F90F9"/>
    <w:multiLevelType w:val="singleLevel"/>
    <w:tmpl w:val="F76F90F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jNjM3NWI5MTNkMWY5OTMxOWNhYmFiZWZmOTA2ZDEifQ=="/>
  </w:docVars>
  <w:rsids>
    <w:rsidRoot w:val="76EE5229"/>
    <w:rsid w:val="004E43BF"/>
    <w:rsid w:val="00661C58"/>
    <w:rsid w:val="01D441F5"/>
    <w:rsid w:val="06FA85F0"/>
    <w:rsid w:val="097F4EE5"/>
    <w:rsid w:val="09FE5C6F"/>
    <w:rsid w:val="0A444623"/>
    <w:rsid w:val="0E64767F"/>
    <w:rsid w:val="0E930A4A"/>
    <w:rsid w:val="100C2174"/>
    <w:rsid w:val="149B5568"/>
    <w:rsid w:val="14FE8026"/>
    <w:rsid w:val="17FE0CF5"/>
    <w:rsid w:val="1843389B"/>
    <w:rsid w:val="19A7B62A"/>
    <w:rsid w:val="19E568F1"/>
    <w:rsid w:val="1A9F3A5E"/>
    <w:rsid w:val="1ADC6D40"/>
    <w:rsid w:val="1C444B9D"/>
    <w:rsid w:val="1CE8A544"/>
    <w:rsid w:val="1EE7D578"/>
    <w:rsid w:val="1FBF245B"/>
    <w:rsid w:val="1FF1E1A8"/>
    <w:rsid w:val="1FF8C973"/>
    <w:rsid w:val="1FFB12E4"/>
    <w:rsid w:val="216B497A"/>
    <w:rsid w:val="23213F89"/>
    <w:rsid w:val="23B4085A"/>
    <w:rsid w:val="25272191"/>
    <w:rsid w:val="257F8362"/>
    <w:rsid w:val="25A57FD4"/>
    <w:rsid w:val="27D7051D"/>
    <w:rsid w:val="27FE2ACB"/>
    <w:rsid w:val="27FF6893"/>
    <w:rsid w:val="28D056F9"/>
    <w:rsid w:val="29373CF9"/>
    <w:rsid w:val="2A3F6384"/>
    <w:rsid w:val="2AA55A63"/>
    <w:rsid w:val="2B0B2D29"/>
    <w:rsid w:val="2BFB625B"/>
    <w:rsid w:val="2BFE6340"/>
    <w:rsid w:val="2DCFB1D8"/>
    <w:rsid w:val="2ED35D59"/>
    <w:rsid w:val="2EFA750E"/>
    <w:rsid w:val="2F3D2954"/>
    <w:rsid w:val="2FFD1532"/>
    <w:rsid w:val="30DFA5CD"/>
    <w:rsid w:val="310162CD"/>
    <w:rsid w:val="31BC0084"/>
    <w:rsid w:val="31F43E0E"/>
    <w:rsid w:val="31FEC050"/>
    <w:rsid w:val="3357613E"/>
    <w:rsid w:val="3367A000"/>
    <w:rsid w:val="337F7490"/>
    <w:rsid w:val="34830015"/>
    <w:rsid w:val="351B849A"/>
    <w:rsid w:val="359A4031"/>
    <w:rsid w:val="35A106F3"/>
    <w:rsid w:val="36FF8E2F"/>
    <w:rsid w:val="3752750A"/>
    <w:rsid w:val="39FFD084"/>
    <w:rsid w:val="3A7E2EBB"/>
    <w:rsid w:val="3B3F1E5C"/>
    <w:rsid w:val="3BCD3F0C"/>
    <w:rsid w:val="3C8B3BEF"/>
    <w:rsid w:val="3D6F6281"/>
    <w:rsid w:val="3DF73C2F"/>
    <w:rsid w:val="3E067AAC"/>
    <w:rsid w:val="3E1B1033"/>
    <w:rsid w:val="3EFFA3FD"/>
    <w:rsid w:val="3F3EB102"/>
    <w:rsid w:val="3FEB85E5"/>
    <w:rsid w:val="3FEF01C3"/>
    <w:rsid w:val="3FEFF7AE"/>
    <w:rsid w:val="3FFAC453"/>
    <w:rsid w:val="3FFB48E9"/>
    <w:rsid w:val="3FFD21CE"/>
    <w:rsid w:val="402108FA"/>
    <w:rsid w:val="40371BF6"/>
    <w:rsid w:val="41B312B1"/>
    <w:rsid w:val="43721740"/>
    <w:rsid w:val="43E43EBD"/>
    <w:rsid w:val="43FB5C0B"/>
    <w:rsid w:val="44081A16"/>
    <w:rsid w:val="49446290"/>
    <w:rsid w:val="49F740E8"/>
    <w:rsid w:val="4AE16C4F"/>
    <w:rsid w:val="4BFE176E"/>
    <w:rsid w:val="4C8D1407"/>
    <w:rsid w:val="4D77D7E5"/>
    <w:rsid w:val="4DDE307F"/>
    <w:rsid w:val="4E535A34"/>
    <w:rsid w:val="4F5EB2A6"/>
    <w:rsid w:val="4F71E561"/>
    <w:rsid w:val="4F7FC1E1"/>
    <w:rsid w:val="4F9109F7"/>
    <w:rsid w:val="4FFFDC63"/>
    <w:rsid w:val="51DE0FD5"/>
    <w:rsid w:val="524B7E6E"/>
    <w:rsid w:val="53402AA9"/>
    <w:rsid w:val="5539030F"/>
    <w:rsid w:val="5675442E"/>
    <w:rsid w:val="567710EF"/>
    <w:rsid w:val="573620EA"/>
    <w:rsid w:val="57AF2903"/>
    <w:rsid w:val="57EFEAFF"/>
    <w:rsid w:val="57FD9EC2"/>
    <w:rsid w:val="57FF318B"/>
    <w:rsid w:val="59B84BCC"/>
    <w:rsid w:val="5A0A5DD6"/>
    <w:rsid w:val="5A5E0D2D"/>
    <w:rsid w:val="5B5A2B4A"/>
    <w:rsid w:val="5BFF7A7F"/>
    <w:rsid w:val="5C7BAEFA"/>
    <w:rsid w:val="5C923665"/>
    <w:rsid w:val="5D331AE8"/>
    <w:rsid w:val="5D5E1576"/>
    <w:rsid w:val="5DBFBD38"/>
    <w:rsid w:val="5EA8498F"/>
    <w:rsid w:val="5EDC690C"/>
    <w:rsid w:val="5EFB8F53"/>
    <w:rsid w:val="5EFF0CF2"/>
    <w:rsid w:val="5F0E50C9"/>
    <w:rsid w:val="5F4EF1B9"/>
    <w:rsid w:val="5F7F9DBF"/>
    <w:rsid w:val="5FAFCD5E"/>
    <w:rsid w:val="5FB1E96D"/>
    <w:rsid w:val="5FBB27FD"/>
    <w:rsid w:val="5FBBB014"/>
    <w:rsid w:val="5FD3895F"/>
    <w:rsid w:val="5FDE19F7"/>
    <w:rsid w:val="5FDF915D"/>
    <w:rsid w:val="5FEDBE9E"/>
    <w:rsid w:val="5FEF1497"/>
    <w:rsid w:val="5FFDE357"/>
    <w:rsid w:val="600F63A3"/>
    <w:rsid w:val="609264E7"/>
    <w:rsid w:val="60A31868"/>
    <w:rsid w:val="6151253D"/>
    <w:rsid w:val="63BE779D"/>
    <w:rsid w:val="63E716C2"/>
    <w:rsid w:val="6479BE39"/>
    <w:rsid w:val="65402D7F"/>
    <w:rsid w:val="65F7FAF5"/>
    <w:rsid w:val="666F525B"/>
    <w:rsid w:val="678F33A1"/>
    <w:rsid w:val="679C1449"/>
    <w:rsid w:val="67BEA61E"/>
    <w:rsid w:val="67FFBD80"/>
    <w:rsid w:val="69B0CA52"/>
    <w:rsid w:val="69E46644"/>
    <w:rsid w:val="6AC83255"/>
    <w:rsid w:val="6B7FCD3B"/>
    <w:rsid w:val="6B9D9062"/>
    <w:rsid w:val="6BD70B54"/>
    <w:rsid w:val="6BD7B246"/>
    <w:rsid w:val="6BE5FD4D"/>
    <w:rsid w:val="6C6FAF32"/>
    <w:rsid w:val="6D3B9362"/>
    <w:rsid w:val="6D5B6B4B"/>
    <w:rsid w:val="6DE230F2"/>
    <w:rsid w:val="6DFFF689"/>
    <w:rsid w:val="6E0D733D"/>
    <w:rsid w:val="6EDF8DD2"/>
    <w:rsid w:val="6F3F0609"/>
    <w:rsid w:val="6FB75FF9"/>
    <w:rsid w:val="6FBF9E88"/>
    <w:rsid w:val="6FBFCFC6"/>
    <w:rsid w:val="6FDCD583"/>
    <w:rsid w:val="6FFD8B28"/>
    <w:rsid w:val="6FFEB8A0"/>
    <w:rsid w:val="6FFED2CC"/>
    <w:rsid w:val="6FFF1203"/>
    <w:rsid w:val="6FFF17AA"/>
    <w:rsid w:val="6FFF9A9A"/>
    <w:rsid w:val="708A6726"/>
    <w:rsid w:val="71A8561D"/>
    <w:rsid w:val="71D0B660"/>
    <w:rsid w:val="71EE4803"/>
    <w:rsid w:val="725DDD6B"/>
    <w:rsid w:val="729B7109"/>
    <w:rsid w:val="72AF4BD7"/>
    <w:rsid w:val="72DF01B2"/>
    <w:rsid w:val="76104449"/>
    <w:rsid w:val="76EE5229"/>
    <w:rsid w:val="774F01DD"/>
    <w:rsid w:val="77CF1751"/>
    <w:rsid w:val="77F958AE"/>
    <w:rsid w:val="77FD447C"/>
    <w:rsid w:val="782DEBEB"/>
    <w:rsid w:val="78FE481A"/>
    <w:rsid w:val="79EF985F"/>
    <w:rsid w:val="7A57C2C6"/>
    <w:rsid w:val="7A9E285F"/>
    <w:rsid w:val="7B1D9308"/>
    <w:rsid w:val="7B7780A4"/>
    <w:rsid w:val="7B8C44A0"/>
    <w:rsid w:val="7B8FAB71"/>
    <w:rsid w:val="7BDF1CBF"/>
    <w:rsid w:val="7BEF5A67"/>
    <w:rsid w:val="7BF1B936"/>
    <w:rsid w:val="7C1D77B5"/>
    <w:rsid w:val="7CDD2219"/>
    <w:rsid w:val="7CF79E55"/>
    <w:rsid w:val="7CFBF7BA"/>
    <w:rsid w:val="7D2EEC19"/>
    <w:rsid w:val="7D7A730A"/>
    <w:rsid w:val="7D7FF91C"/>
    <w:rsid w:val="7DBA2815"/>
    <w:rsid w:val="7DBDEEFD"/>
    <w:rsid w:val="7DEF3DD3"/>
    <w:rsid w:val="7DF7C72E"/>
    <w:rsid w:val="7DFF15B9"/>
    <w:rsid w:val="7E7061E0"/>
    <w:rsid w:val="7E7FD19F"/>
    <w:rsid w:val="7E9EFE59"/>
    <w:rsid w:val="7E9FBC90"/>
    <w:rsid w:val="7EE715F4"/>
    <w:rsid w:val="7EEFF561"/>
    <w:rsid w:val="7EF62E76"/>
    <w:rsid w:val="7EF7A651"/>
    <w:rsid w:val="7EFB8593"/>
    <w:rsid w:val="7EFFABA5"/>
    <w:rsid w:val="7EFFC27D"/>
    <w:rsid w:val="7F3D5B37"/>
    <w:rsid w:val="7F4FECF7"/>
    <w:rsid w:val="7F5F4E9B"/>
    <w:rsid w:val="7F655342"/>
    <w:rsid w:val="7F7D5613"/>
    <w:rsid w:val="7F7D93E0"/>
    <w:rsid w:val="7F7F2835"/>
    <w:rsid w:val="7FCFE9FD"/>
    <w:rsid w:val="7FD43C2E"/>
    <w:rsid w:val="7FDE563F"/>
    <w:rsid w:val="7FDEE690"/>
    <w:rsid w:val="7FEBDC15"/>
    <w:rsid w:val="7FF5C30C"/>
    <w:rsid w:val="7FFB05F6"/>
    <w:rsid w:val="7FFF8906"/>
    <w:rsid w:val="8F38F3E1"/>
    <w:rsid w:val="8FB6952C"/>
    <w:rsid w:val="8FCACE2D"/>
    <w:rsid w:val="976A32F8"/>
    <w:rsid w:val="9BD54890"/>
    <w:rsid w:val="9CF1C030"/>
    <w:rsid w:val="9DF54BBA"/>
    <w:rsid w:val="9EFB2E46"/>
    <w:rsid w:val="9FAE69C5"/>
    <w:rsid w:val="9FF5AB61"/>
    <w:rsid w:val="AD5F5AE9"/>
    <w:rsid w:val="AEFFE099"/>
    <w:rsid w:val="AF57C869"/>
    <w:rsid w:val="B1BAF504"/>
    <w:rsid w:val="B1FF8D4E"/>
    <w:rsid w:val="B68FB8E2"/>
    <w:rsid w:val="B79D54DE"/>
    <w:rsid w:val="B7DD51BE"/>
    <w:rsid w:val="B7E7547C"/>
    <w:rsid w:val="B7EF85FB"/>
    <w:rsid w:val="B9BFED76"/>
    <w:rsid w:val="BBFF2BBF"/>
    <w:rsid w:val="BCF74CA6"/>
    <w:rsid w:val="BDA1B508"/>
    <w:rsid w:val="BDFF6BC7"/>
    <w:rsid w:val="BDFFA167"/>
    <w:rsid w:val="BEED164A"/>
    <w:rsid w:val="BEFB77BA"/>
    <w:rsid w:val="BEFE1990"/>
    <w:rsid w:val="BF3665D4"/>
    <w:rsid w:val="BF3F401B"/>
    <w:rsid w:val="BF47DD9C"/>
    <w:rsid w:val="BFBE4A0F"/>
    <w:rsid w:val="BFE91A0B"/>
    <w:rsid w:val="BFF7C4A5"/>
    <w:rsid w:val="BFF7E6BD"/>
    <w:rsid w:val="BFFE3A43"/>
    <w:rsid w:val="BFFF7ED5"/>
    <w:rsid w:val="C1D5CF94"/>
    <w:rsid w:val="C5EE2BD6"/>
    <w:rsid w:val="C776BC33"/>
    <w:rsid w:val="C9ED5C15"/>
    <w:rsid w:val="CB4B06B3"/>
    <w:rsid w:val="CCB76CCE"/>
    <w:rsid w:val="CFDB2071"/>
    <w:rsid w:val="CFEADAE1"/>
    <w:rsid w:val="CFF1D8C1"/>
    <w:rsid w:val="D3EF266C"/>
    <w:rsid w:val="D4EA4039"/>
    <w:rsid w:val="D53F0DA8"/>
    <w:rsid w:val="D57724AE"/>
    <w:rsid w:val="D66BAF9B"/>
    <w:rsid w:val="D6BFC089"/>
    <w:rsid w:val="D6F7CCFF"/>
    <w:rsid w:val="D73FFC93"/>
    <w:rsid w:val="D7FFFA4A"/>
    <w:rsid w:val="D9F99773"/>
    <w:rsid w:val="D9FFE8CC"/>
    <w:rsid w:val="DBB95F96"/>
    <w:rsid w:val="DBEB8D17"/>
    <w:rsid w:val="DCCF4B0D"/>
    <w:rsid w:val="DCDE29A2"/>
    <w:rsid w:val="DDF76DC4"/>
    <w:rsid w:val="DEDFEA57"/>
    <w:rsid w:val="DEEE5FE3"/>
    <w:rsid w:val="DF7086DD"/>
    <w:rsid w:val="DF9F67C6"/>
    <w:rsid w:val="DFBFC872"/>
    <w:rsid w:val="DFDD7452"/>
    <w:rsid w:val="DFDF3322"/>
    <w:rsid w:val="DFDF8ACF"/>
    <w:rsid w:val="DFEC3EC3"/>
    <w:rsid w:val="DFF90A06"/>
    <w:rsid w:val="DFF9D1DC"/>
    <w:rsid w:val="DFFD7112"/>
    <w:rsid w:val="E367D26F"/>
    <w:rsid w:val="E55FF18C"/>
    <w:rsid w:val="E7D14944"/>
    <w:rsid w:val="E7D9049A"/>
    <w:rsid w:val="E7DFFF37"/>
    <w:rsid w:val="E7F599AE"/>
    <w:rsid w:val="EB1EE02B"/>
    <w:rsid w:val="EBDB3206"/>
    <w:rsid w:val="ECB32EEB"/>
    <w:rsid w:val="ECF34516"/>
    <w:rsid w:val="ECFE001F"/>
    <w:rsid w:val="EED19C5F"/>
    <w:rsid w:val="EEF6B13C"/>
    <w:rsid w:val="EF57A19B"/>
    <w:rsid w:val="EFB35332"/>
    <w:rsid w:val="EFBDFEDF"/>
    <w:rsid w:val="EFCFE31E"/>
    <w:rsid w:val="EFF73517"/>
    <w:rsid w:val="EFFB4629"/>
    <w:rsid w:val="EFFC67BC"/>
    <w:rsid w:val="F0BEB701"/>
    <w:rsid w:val="F2ED5EE6"/>
    <w:rsid w:val="F37B4088"/>
    <w:rsid w:val="F37F616D"/>
    <w:rsid w:val="F3D89796"/>
    <w:rsid w:val="F4A7C83E"/>
    <w:rsid w:val="F5775CD3"/>
    <w:rsid w:val="F5AE67BB"/>
    <w:rsid w:val="F5BB42FA"/>
    <w:rsid w:val="F63EDCE3"/>
    <w:rsid w:val="F6CB5653"/>
    <w:rsid w:val="F6CEF2DF"/>
    <w:rsid w:val="F78DA4A3"/>
    <w:rsid w:val="F7CF30A0"/>
    <w:rsid w:val="F7F75969"/>
    <w:rsid w:val="F7FD33FD"/>
    <w:rsid w:val="F7FDCCF9"/>
    <w:rsid w:val="F7FF33CA"/>
    <w:rsid w:val="F7FFDBCF"/>
    <w:rsid w:val="FA3C841F"/>
    <w:rsid w:val="FA6FBDA0"/>
    <w:rsid w:val="FABC5577"/>
    <w:rsid w:val="FADF766A"/>
    <w:rsid w:val="FB5F7A24"/>
    <w:rsid w:val="FB6F39F6"/>
    <w:rsid w:val="FB765050"/>
    <w:rsid w:val="FB7BDD06"/>
    <w:rsid w:val="FB977A8B"/>
    <w:rsid w:val="FBB5933D"/>
    <w:rsid w:val="FBB7F00E"/>
    <w:rsid w:val="FBD7327D"/>
    <w:rsid w:val="FBE35306"/>
    <w:rsid w:val="FBF3E97C"/>
    <w:rsid w:val="FBF7C2E7"/>
    <w:rsid w:val="FC7685EC"/>
    <w:rsid w:val="FCF51C84"/>
    <w:rsid w:val="FD379877"/>
    <w:rsid w:val="FD4731C0"/>
    <w:rsid w:val="FD7EB74A"/>
    <w:rsid w:val="FDBDC449"/>
    <w:rsid w:val="FDC79D94"/>
    <w:rsid w:val="FDDD61F4"/>
    <w:rsid w:val="FDFE3BF7"/>
    <w:rsid w:val="FE3C8803"/>
    <w:rsid w:val="FEB75406"/>
    <w:rsid w:val="FEC70752"/>
    <w:rsid w:val="FEEA43BE"/>
    <w:rsid w:val="FEFB09DF"/>
    <w:rsid w:val="FEFC847E"/>
    <w:rsid w:val="FEFC989A"/>
    <w:rsid w:val="FEFF3D9A"/>
    <w:rsid w:val="FEFF9D01"/>
    <w:rsid w:val="FEFFBB00"/>
    <w:rsid w:val="FF3FF544"/>
    <w:rsid w:val="FF46A45C"/>
    <w:rsid w:val="FF47D611"/>
    <w:rsid w:val="FF732E8E"/>
    <w:rsid w:val="FF755E90"/>
    <w:rsid w:val="FF7B5399"/>
    <w:rsid w:val="FF974D5C"/>
    <w:rsid w:val="FFCF03ED"/>
    <w:rsid w:val="FFE7790D"/>
    <w:rsid w:val="FFEB99D1"/>
    <w:rsid w:val="FFF4D63D"/>
    <w:rsid w:val="FFFB4F5F"/>
    <w:rsid w:val="FFFCE2FC"/>
    <w:rsid w:val="FFFF87D5"/>
    <w:rsid w:val="FFFFD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99"/>
    <w:pPr>
      <w:ind w:firstLine="200" w:firstLineChars="200"/>
      <w:jc w:val="left"/>
    </w:pPr>
    <w:rPr>
      <w:rFonts w:eastAsia="仿宋_GB2312"/>
    </w:rPr>
  </w:style>
  <w:style w:type="paragraph" w:styleId="4">
    <w:name w:val="Normal Indent"/>
    <w:basedOn w:val="1"/>
    <w:unhideWhenUsed/>
    <w:qFormat/>
    <w:uiPriority w:val="99"/>
    <w:pPr>
      <w:ind w:firstLine="420" w:firstLineChars="200"/>
    </w:pPr>
  </w:style>
  <w:style w:type="paragraph" w:styleId="5">
    <w:name w:val="Body Text Indent"/>
    <w:basedOn w:val="1"/>
    <w:next w:val="4"/>
    <w:unhideWhenUsed/>
    <w:qFormat/>
    <w:uiPriority w:val="99"/>
    <w:pPr>
      <w:spacing w:after="120"/>
      <w:ind w:left="420" w:leftChars="200"/>
    </w:pPr>
  </w:style>
  <w:style w:type="paragraph" w:styleId="6">
    <w:name w:val="Plain Text"/>
    <w:basedOn w:val="1"/>
    <w:next w:val="1"/>
    <w:qFormat/>
    <w:uiPriority w:val="0"/>
    <w:rPr>
      <w:rFonts w:ascii="宋体" w:hAnsi="Courier New" w:eastAsia="宋体"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2"/>
    <w:basedOn w:val="1"/>
    <w:next w:val="5"/>
    <w:unhideWhenUsed/>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Emphasis"/>
    <w:basedOn w:val="13"/>
    <w:qFormat/>
    <w:uiPriority w:val="0"/>
    <w:rPr>
      <w:i/>
    </w:rPr>
  </w:style>
  <w:style w:type="paragraph" w:customStyle="1" w:styleId="16">
    <w:name w:val="Char"/>
    <w:basedOn w:val="1"/>
    <w:next w:val="1"/>
    <w:qFormat/>
    <w:uiPriority w:val="0"/>
    <w:rPr>
      <w:rFonts w:ascii="Times New Roman" w:hAnsi="Times New Roman" w:eastAsia="宋体" w:cs="Times New Roman"/>
      <w:szCs w:val="20"/>
    </w:rPr>
  </w:style>
  <w:style w:type="paragraph" w:customStyle="1" w:styleId="17">
    <w:name w:val="BodyText1I2"/>
    <w:basedOn w:val="18"/>
    <w:qFormat/>
    <w:uiPriority w:val="0"/>
    <w:pPr>
      <w:spacing w:after="120"/>
      <w:ind w:left="420" w:leftChars="200" w:firstLine="420" w:firstLineChars="200"/>
    </w:pPr>
  </w:style>
  <w:style w:type="paragraph" w:customStyle="1" w:styleId="18">
    <w:name w:val="BodyTextIndent"/>
    <w:basedOn w:val="1"/>
    <w:qFormat/>
    <w:uiPriority w:val="0"/>
    <w:pPr>
      <w:suppressAutoHyphens/>
      <w:spacing w:line="480" w:lineRule="exact"/>
      <w:ind w:firstLine="539"/>
      <w:textAlignment w:val="baseline"/>
    </w:pPr>
    <w:rPr>
      <w:rFonts w:ascii="Calibri" w:hAnsi="Calibri"/>
      <w:color w:val="000000"/>
      <w:sz w:val="28"/>
    </w:rPr>
  </w:style>
  <w:style w:type="character" w:customStyle="1" w:styleId="19">
    <w:name w:val="NormalCharacter"/>
    <w:qFormat/>
    <w:uiPriority w:val="0"/>
    <w:rPr>
      <w:rFonts w:ascii="Calibri" w:hAnsi="Calibri" w:eastAsia="宋体" w:cs="Times New Roman"/>
      <w:kern w:val="2"/>
      <w:sz w:val="21"/>
      <w:szCs w:val="22"/>
      <w:lang w:val="en-US" w:eastAsia="zh-CN" w:bidi="ar-SA"/>
    </w:rPr>
  </w:style>
  <w:style w:type="paragraph" w:customStyle="1" w:styleId="20">
    <w:name w:val="公文主体"/>
    <w:basedOn w:val="1"/>
    <w:qFormat/>
    <w:uiPriority w:val="0"/>
    <w:pPr>
      <w:spacing w:line="580" w:lineRule="exact"/>
      <w:ind w:firstLine="200" w:firstLineChars="200"/>
    </w:pPr>
    <w:rPr>
      <w:rFonts w:eastAsia="仿宋_GB2312"/>
      <w:sz w:val="32"/>
    </w:rPr>
  </w:style>
  <w:style w:type="paragraph" w:customStyle="1" w:styleId="21">
    <w:name w:val="主送单位"/>
    <w:basedOn w:val="20"/>
    <w:next w:val="20"/>
    <w:qFormat/>
    <w:uiPriority w:val="0"/>
    <w:pPr>
      <w:ind w:firstLine="0" w:firstLineChars="0"/>
      <w:outlineLvl w:val="1"/>
    </w:pPr>
    <w:rPr>
      <w:rFonts w:eastAsia="宋体"/>
    </w:rPr>
  </w:style>
  <w:style w:type="character" w:customStyle="1" w:styleId="22">
    <w:name w:val="二级标题 Char"/>
    <w:link w:val="23"/>
    <w:qFormat/>
    <w:uiPriority w:val="0"/>
    <w:rPr>
      <w:rFonts w:eastAsia="楷体_GB2312"/>
      <w:szCs w:val="32"/>
    </w:rPr>
  </w:style>
  <w:style w:type="paragraph" w:customStyle="1" w:styleId="23">
    <w:name w:val="二级标题"/>
    <w:basedOn w:val="20"/>
    <w:next w:val="20"/>
    <w:link w:val="22"/>
    <w:qFormat/>
    <w:uiPriority w:val="0"/>
    <w:pPr>
      <w:outlineLvl w:val="3"/>
    </w:pPr>
    <w:rPr>
      <w:rFonts w:eastAsia="楷体_GB2312"/>
      <w:szCs w:val="32"/>
    </w:rPr>
  </w:style>
  <w:style w:type="paragraph" w:customStyle="1" w:styleId="24">
    <w:name w:val="UserStyle_0"/>
    <w:basedOn w:val="25"/>
    <w:qFormat/>
    <w:uiPriority w:val="0"/>
    <w:pPr>
      <w:spacing w:after="120"/>
      <w:ind w:left="420" w:leftChars="200" w:firstLine="420" w:firstLineChars="200"/>
      <w:jc w:val="both"/>
      <w:textAlignment w:val="baseline"/>
    </w:pPr>
    <w:rPr>
      <w:rFonts w:ascii="Times New Roman" w:hAnsi="Times New Roman" w:eastAsia="宋体"/>
      <w:szCs w:val="24"/>
    </w:rPr>
  </w:style>
  <w:style w:type="paragraph" w:customStyle="1" w:styleId="25">
    <w:name w:val="UserStyle_1"/>
    <w:basedOn w:val="1"/>
    <w:qFormat/>
    <w:uiPriority w:val="0"/>
    <w:pPr>
      <w:spacing w:after="120"/>
      <w:ind w:left="420" w:leftChars="20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8523</Words>
  <Characters>8677</Characters>
  <Lines>0</Lines>
  <Paragraphs>0</Paragraphs>
  <TotalTime>25</TotalTime>
  <ScaleCrop>false</ScaleCrop>
  <LinksUpToDate>false</LinksUpToDate>
  <CharactersWithSpaces>8687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2022-03-15T16:43:00Z</dcterms:created>
  <dc:creator>蒋浩</dc:creator>
  <cp:lastModifiedBy>user</cp:lastModifiedBy>
  <cp:lastPrinted>2023-07-31T08:54:00Z</cp:lastPrinted>
  <dcterms:modified xsi:type="dcterms:W3CDTF">2024-06-12T10:39:32Z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4DBC55636B974A46BD743449D3B24B28_13</vt:lpwstr>
  </property>
</Properties>
</file>