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line="596" w:lineRule="exact"/>
        <w:ind w:firstLine="880" w:firstLineChars="200"/>
        <w:jc w:val="center"/>
        <w:textAlignment w:val="auto"/>
        <w:rPr>
          <w:rFonts w:hint="default" w:ascii="Times New Roman" w:hAnsi="Times New Roman" w:eastAsia="方正小标宋简体" w:cs="Times New Roman"/>
          <w:b w:val="0"/>
          <w:bCs w:val="0"/>
          <w:color w:val="auto"/>
          <w:sz w:val="44"/>
          <w:szCs w:val="44"/>
        </w:rPr>
      </w:pPr>
      <w:bookmarkStart w:id="7" w:name="_GoBack"/>
      <w:bookmarkEnd w:id="7"/>
      <w:bookmarkStart w:id="0" w:name="_Toc712614243"/>
      <w:bookmarkStart w:id="1" w:name="_Toc49962345"/>
      <w:r>
        <w:rPr>
          <w:rFonts w:hint="default" w:ascii="Times New Roman" w:hAnsi="Times New Roman" w:eastAsia="方正小标宋简体" w:cs="Times New Roman"/>
          <w:b w:val="0"/>
          <w:bCs w:val="0"/>
          <w:color w:val="auto"/>
          <w:sz w:val="44"/>
          <w:szCs w:val="44"/>
          <w:lang w:eastAsia="zh-CN"/>
        </w:rPr>
        <w:t>遂宁市</w:t>
      </w:r>
      <w:r>
        <w:rPr>
          <w:rFonts w:hint="default" w:ascii="Times New Roman" w:hAnsi="Times New Roman" w:eastAsia="方正小标宋简体" w:cs="Times New Roman"/>
          <w:b w:val="0"/>
          <w:bCs w:val="0"/>
          <w:color w:val="auto"/>
          <w:sz w:val="44"/>
          <w:szCs w:val="44"/>
        </w:rPr>
        <w:t>医疗保障分类检查事项目录</w:t>
      </w:r>
    </w:p>
    <w:p>
      <w:pPr>
        <w:pStyle w:val="3"/>
        <w:spacing w:line="240" w:lineRule="auto"/>
        <w:jc w:val="center"/>
        <w:rPr>
          <w:rFonts w:hint="default" w:ascii="Times New Roman" w:hAnsi="Times New Roman" w:eastAsia="方正小标宋简体" w:cs="Times New Roman"/>
          <w:b w:val="0"/>
          <w:bCs w:val="0"/>
          <w:color w:val="auto"/>
          <w:sz w:val="36"/>
          <w:szCs w:val="36"/>
        </w:rPr>
      </w:pPr>
      <w:r>
        <w:rPr>
          <w:rFonts w:hint="default" w:ascii="Times New Roman" w:hAnsi="Times New Roman" w:eastAsia="方正小标宋简体" w:cs="Times New Roman"/>
          <w:b w:val="0"/>
          <w:bCs w:val="0"/>
          <w:color w:val="auto"/>
          <w:sz w:val="36"/>
          <w:szCs w:val="36"/>
          <w:lang w:val="en-US" w:eastAsia="zh-CN"/>
        </w:rPr>
        <w:t>一、用人单位</w:t>
      </w:r>
      <w:r>
        <w:rPr>
          <w:rFonts w:hint="default" w:ascii="Times New Roman" w:hAnsi="Times New Roman" w:eastAsia="方正小标宋简体" w:cs="Times New Roman"/>
          <w:b w:val="0"/>
          <w:bCs w:val="0"/>
          <w:color w:val="auto"/>
          <w:sz w:val="36"/>
          <w:szCs w:val="36"/>
        </w:rPr>
        <w:t>检查事项</w:t>
      </w:r>
      <w:bookmarkEnd w:id="0"/>
    </w:p>
    <w:tbl>
      <w:tblPr>
        <w:tblStyle w:val="16"/>
        <w:tblW w:w="47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644"/>
        <w:gridCol w:w="1276"/>
        <w:gridCol w:w="1184"/>
        <w:gridCol w:w="6025"/>
        <w:gridCol w:w="4553"/>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77" w:hRule="atLeast"/>
          <w:tblHeader/>
          <w:jc w:val="center"/>
        </w:trPr>
        <w:tc>
          <w:tcPr>
            <w:tcW w:w="217"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1"/>
                <w:szCs w:val="21"/>
              </w:rPr>
            </w:pPr>
            <w:r>
              <w:rPr>
                <w:rFonts w:hint="default" w:ascii="Times New Roman" w:hAnsi="Times New Roman" w:eastAsia="黑体" w:cs="Times New Roman"/>
                <w:b w:val="0"/>
                <w:bCs w:val="0"/>
                <w:color w:val="auto"/>
                <w:kern w:val="0"/>
                <w:sz w:val="21"/>
                <w:szCs w:val="21"/>
              </w:rPr>
              <w:t>序号</w:t>
            </w:r>
          </w:p>
        </w:tc>
        <w:tc>
          <w:tcPr>
            <w:tcW w:w="430"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1"/>
                <w:szCs w:val="21"/>
              </w:rPr>
            </w:pPr>
            <w:r>
              <w:rPr>
                <w:rFonts w:hint="default" w:ascii="Times New Roman" w:hAnsi="Times New Roman" w:eastAsia="黑体" w:cs="Times New Roman"/>
                <w:b w:val="0"/>
                <w:bCs w:val="0"/>
                <w:color w:val="auto"/>
                <w:kern w:val="0"/>
                <w:sz w:val="21"/>
                <w:szCs w:val="21"/>
                <w:lang w:eastAsia="zh-CN"/>
              </w:rPr>
              <w:t>检查</w:t>
            </w:r>
            <w:r>
              <w:rPr>
                <w:rFonts w:hint="default" w:ascii="Times New Roman" w:hAnsi="Times New Roman" w:eastAsia="黑体" w:cs="Times New Roman"/>
                <w:b w:val="0"/>
                <w:bCs w:val="0"/>
                <w:color w:val="auto"/>
                <w:kern w:val="0"/>
                <w:sz w:val="21"/>
                <w:szCs w:val="21"/>
              </w:rPr>
              <w:t>事项</w:t>
            </w:r>
          </w:p>
        </w:tc>
        <w:tc>
          <w:tcPr>
            <w:tcW w:w="399"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1"/>
                <w:szCs w:val="21"/>
              </w:rPr>
            </w:pPr>
            <w:r>
              <w:rPr>
                <w:rFonts w:hint="default" w:ascii="Times New Roman" w:hAnsi="Times New Roman" w:eastAsia="黑体" w:cs="Times New Roman"/>
                <w:b w:val="0"/>
                <w:bCs w:val="0"/>
                <w:color w:val="auto"/>
                <w:kern w:val="0"/>
                <w:sz w:val="21"/>
                <w:szCs w:val="21"/>
                <w:lang w:eastAsia="zh-CN"/>
              </w:rPr>
              <w:t>检查内容</w:t>
            </w:r>
          </w:p>
        </w:tc>
        <w:tc>
          <w:tcPr>
            <w:tcW w:w="2030"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1"/>
                <w:szCs w:val="21"/>
              </w:rPr>
            </w:pPr>
            <w:r>
              <w:rPr>
                <w:rFonts w:hint="default" w:ascii="Times New Roman" w:hAnsi="Times New Roman" w:eastAsia="黑体" w:cs="Times New Roman"/>
                <w:b w:val="0"/>
                <w:bCs w:val="0"/>
                <w:color w:val="auto"/>
                <w:kern w:val="0"/>
                <w:sz w:val="21"/>
                <w:szCs w:val="21"/>
                <w:lang w:eastAsia="zh-CN"/>
              </w:rPr>
              <w:t>检查依据</w:t>
            </w:r>
          </w:p>
        </w:tc>
        <w:tc>
          <w:tcPr>
            <w:tcW w:w="1534"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1"/>
                <w:szCs w:val="21"/>
                <w:lang w:val="en" w:eastAsia="zh-CN"/>
              </w:rPr>
            </w:pPr>
            <w:r>
              <w:rPr>
                <w:rFonts w:hint="default" w:ascii="Times New Roman" w:hAnsi="Times New Roman" w:eastAsia="黑体" w:cs="Times New Roman"/>
                <w:b w:val="0"/>
                <w:bCs w:val="0"/>
                <w:color w:val="auto"/>
                <w:kern w:val="0"/>
                <w:sz w:val="21"/>
                <w:szCs w:val="21"/>
                <w:lang w:val="en" w:eastAsia="zh-CN"/>
              </w:rPr>
              <w:t>法律责任</w:t>
            </w:r>
          </w:p>
        </w:tc>
        <w:tc>
          <w:tcPr>
            <w:tcW w:w="388"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leftChars="0" w:right="0" w:rightChars="0"/>
              <w:jc w:val="center"/>
              <w:rPr>
                <w:rFonts w:hint="default" w:ascii="Times New Roman" w:hAnsi="Times New Roman" w:eastAsia="黑体" w:cs="Times New Roman"/>
                <w:b w:val="0"/>
                <w:bCs w:val="0"/>
                <w:color w:val="auto"/>
                <w:kern w:val="0"/>
                <w:sz w:val="21"/>
                <w:szCs w:val="21"/>
                <w:lang w:val="en-US" w:eastAsia="zh-CN"/>
              </w:rPr>
            </w:pPr>
            <w:r>
              <w:rPr>
                <w:rFonts w:hint="default" w:ascii="Times New Roman" w:hAnsi="Times New Roman" w:eastAsia="黑体" w:cs="Times New Roman"/>
                <w:b w:val="0"/>
                <w:bCs w:val="0"/>
                <w:color w:val="auto"/>
                <w:kern w:val="0"/>
                <w:sz w:val="21"/>
                <w:szCs w:val="21"/>
                <w:lang w:val="en-US" w:eastAsia="zh-CN"/>
              </w:rPr>
              <w:t>事项</w:t>
            </w:r>
          </w:p>
          <w:p>
            <w:pPr>
              <w:keepNext w:val="0"/>
              <w:keepLines w:val="0"/>
              <w:widowControl/>
              <w:suppressLineNumbers w:val="0"/>
              <w:suppressAutoHyphens/>
              <w:bidi w:val="0"/>
              <w:adjustRightInd w:val="0"/>
              <w:snapToGrid w:val="0"/>
              <w:spacing w:before="0" w:beforeAutospacing="0" w:after="0" w:afterAutospacing="0"/>
              <w:ind w:left="0" w:leftChars="0" w:right="0" w:rightChars="0"/>
              <w:jc w:val="center"/>
              <w:rPr>
                <w:rFonts w:hint="default" w:ascii="Times New Roman" w:hAnsi="Times New Roman" w:eastAsia="黑体" w:cs="Times New Roman"/>
                <w:b w:val="0"/>
                <w:bCs w:val="0"/>
                <w:color w:val="auto"/>
                <w:kern w:val="0"/>
                <w:sz w:val="21"/>
                <w:szCs w:val="21"/>
                <w:lang w:val="en-US" w:eastAsia="zh-CN"/>
              </w:rPr>
            </w:pPr>
            <w:r>
              <w:rPr>
                <w:rFonts w:hint="default" w:ascii="Times New Roman" w:hAnsi="Times New Roman" w:eastAsia="黑体" w:cs="Times New Roman"/>
                <w:b w:val="0"/>
                <w:bCs w:val="0"/>
                <w:color w:val="auto"/>
                <w:kern w:val="0"/>
                <w:sz w:val="21"/>
                <w:szCs w:val="21"/>
                <w:lang w:val="en-US" w:eastAsia="zh-CN"/>
              </w:rPr>
              <w:t>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729" w:hRule="atLeast"/>
          <w:jc w:val="center"/>
        </w:trPr>
        <w:tc>
          <w:tcPr>
            <w:tcW w:w="217" w:type="pct"/>
            <w:noWrap w:val="0"/>
            <w:vAlign w:val="center"/>
          </w:tcPr>
          <w:p>
            <w:pPr>
              <w:keepNext w:val="0"/>
              <w:keepLines w:val="0"/>
              <w:pageBreakBefore w:val="0"/>
              <w:widowControl/>
              <w:suppressLineNumbers w:val="0"/>
              <w:suppressAutoHyphens/>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1</w:t>
            </w:r>
          </w:p>
        </w:tc>
        <w:tc>
          <w:tcPr>
            <w:tcW w:w="430" w:type="pct"/>
            <w:noWrap w:val="0"/>
            <w:vAlign w:val="center"/>
          </w:tcPr>
          <w:p>
            <w:pPr>
              <w:keepNext w:val="0"/>
              <w:keepLines w:val="0"/>
              <w:pageBreakBefore w:val="0"/>
              <w:widowControl/>
              <w:suppressLineNumbers w:val="0"/>
              <w:suppressAutoHyphens/>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劳动保障监督检查</w:t>
            </w:r>
          </w:p>
        </w:tc>
        <w:tc>
          <w:tcPr>
            <w:tcW w:w="399" w:type="pct"/>
            <w:noWrap w:val="0"/>
            <w:vAlign w:val="center"/>
          </w:tcPr>
          <w:p>
            <w:pPr>
              <w:keepNext w:val="0"/>
              <w:keepLines w:val="0"/>
              <w:pageBreakBefore w:val="0"/>
              <w:widowControl/>
              <w:suppressLineNumbers w:val="0"/>
              <w:suppressAutoHyphens/>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用人单位的用人合同与其职工参加医保的情况是否匹配</w:t>
            </w:r>
          </w:p>
        </w:tc>
        <w:tc>
          <w:tcPr>
            <w:tcW w:w="2030" w:type="pct"/>
            <w:noWrap w:val="0"/>
            <w:vAlign w:val="center"/>
          </w:tcPr>
          <w:p>
            <w:pPr>
              <w:keepNext w:val="0"/>
              <w:keepLines w:val="0"/>
              <w:pageBreakBefore w:val="0"/>
              <w:suppressLineNumbers w:val="0"/>
              <w:suppressAutoHyphens/>
              <w:kinsoku/>
              <w:wordWrap/>
              <w:overflowPunct/>
              <w:topLinePunct w:val="0"/>
              <w:autoSpaceDE/>
              <w:autoSpaceDN/>
              <w:bidi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1.</w:t>
            </w:r>
            <w:r>
              <w:rPr>
                <w:rFonts w:hint="default" w:ascii="Times New Roman" w:hAnsi="Times New Roman" w:eastAsia="仿宋_GB2312" w:cs="Times New Roman"/>
                <w:b w:val="0"/>
                <w:bCs w:val="0"/>
                <w:color w:val="auto"/>
                <w:kern w:val="0"/>
                <w:sz w:val="20"/>
                <w:szCs w:val="20"/>
                <w:lang w:val="en-US" w:eastAsia="zh-CN"/>
              </w:rPr>
              <w:t>《中华人民共和国社会保险法》第七十七条 县级以上人民政府社会保险行政部门应当加强对用人单位和个人遵守社会保险法律、法规情况的监督检查。</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社会保险行政部门实施监督检查时，被检查的用人单位和个人应当如实提供与社会保险有关的资料，不得拒绝检查或者谎报、瞒报。</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2.</w:t>
            </w:r>
            <w:r>
              <w:rPr>
                <w:rFonts w:hint="default" w:ascii="Times New Roman" w:hAnsi="Times New Roman" w:eastAsia="仿宋_GB2312" w:cs="Times New Roman"/>
                <w:b w:val="0"/>
                <w:bCs w:val="0"/>
                <w:color w:val="auto"/>
                <w:kern w:val="0"/>
                <w:sz w:val="20"/>
                <w:szCs w:val="20"/>
                <w:lang w:val="en-US" w:eastAsia="zh-CN"/>
              </w:rPr>
              <w:t>《劳动保障监察条例》第十一条　劳动保障行政部门对下列事项实施劳动保障监察：</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（一）用人单位制定内部劳动保障规章制度的情况；</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（二）用人单位与劳动者订立劳动合同的情况；</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（三）用人单位遵守禁止使用童工规定的情况；</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（四）用人单位遵守女职工和未成年工特殊劳动保护规定的情况；</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（五）用人单位遵守工作时间和休息休假规定的情况；</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（六）用人单位支付劳动者工资和执行最低工资标准的情况；</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（七）用人单位参加各项社会保险和缴纳社会保险费的情况；</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（八）职业介绍机构、职业技能培训机构和职业技能考核鉴定机构遵守国家有关职业介绍、职业技能培训和职业技能考核鉴定的规定的情况；</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（九）法律、法规规定的其他劳动保障监察事项。</w:t>
            </w:r>
          </w:p>
        </w:tc>
        <w:tc>
          <w:tcPr>
            <w:tcW w:w="1534" w:type="pct"/>
            <w:noWrap w:val="0"/>
            <w:vAlign w:val="center"/>
          </w:tcPr>
          <w:p>
            <w:pPr>
              <w:keepNext w:val="0"/>
              <w:keepLines w:val="0"/>
              <w:pageBreakBefore w:val="0"/>
              <w:suppressLineNumbers w:val="0"/>
              <w:suppressAutoHyphens/>
              <w:kinsoku/>
              <w:wordWrap/>
              <w:overflowPunct/>
              <w:topLinePunct w:val="0"/>
              <w:autoSpaceDE/>
              <w:autoSpaceDN/>
              <w:bidi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1.</w:t>
            </w:r>
            <w:r>
              <w:rPr>
                <w:rFonts w:hint="default" w:ascii="Times New Roman" w:hAnsi="Times New Roman" w:eastAsia="仿宋_GB2312" w:cs="Times New Roman"/>
                <w:b w:val="0"/>
                <w:bCs w:val="0"/>
                <w:color w:val="auto"/>
                <w:kern w:val="0"/>
                <w:sz w:val="20"/>
                <w:szCs w:val="20"/>
                <w:lang w:val="en-US" w:eastAsia="zh-CN"/>
              </w:rPr>
              <w:t>《中华人民共和国社会保险法》第八十四条　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2.</w:t>
            </w:r>
            <w:r>
              <w:rPr>
                <w:rFonts w:hint="default" w:ascii="Times New Roman" w:hAnsi="Times New Roman" w:eastAsia="仿宋_GB2312" w:cs="Times New Roman"/>
                <w:b w:val="0"/>
                <w:bCs w:val="0"/>
                <w:color w:val="auto"/>
                <w:kern w:val="0"/>
                <w:sz w:val="20"/>
                <w:szCs w:val="20"/>
                <w:lang w:val="en-US" w:eastAsia="zh-CN"/>
              </w:rPr>
              <w:t>《劳动保障监察条例》第三十条　有下列行为之一的，由劳动保障行政部门责令改正；对有第（一）项、第（二）项或者第（三）项规定的行为的，处2000元以上2万元以下的罚款：</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（一）无理抗拒、阻挠劳动保障行政部门依照本条例的规定实施劳动保障监察的；</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（二）不按照劳动保障行政部门的要求报送书面材料，隐瞒事实真相，出具伪证或者隐匿、毁灭证据的；</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（三）经劳动保障行政部门责令改正拒不改正，或者拒不履行劳动保障行政部门的行政处理决定的；</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（四）打击报复举报人、投诉人的。</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val="0"/>
                <w:color w:val="auto"/>
                <w:kern w:val="2"/>
                <w:sz w:val="20"/>
                <w:szCs w:val="20"/>
                <w:lang w:val="en-US" w:eastAsia="zh-CN" w:bidi="ar-SA"/>
              </w:rPr>
            </w:pPr>
            <w:r>
              <w:rPr>
                <w:rFonts w:hint="default" w:ascii="Times New Roman" w:hAnsi="Times New Roman" w:eastAsia="仿宋_GB2312" w:cs="Times New Roman"/>
                <w:b w:val="0"/>
                <w:bCs w:val="0"/>
                <w:color w:val="auto"/>
                <w:kern w:val="0"/>
                <w:sz w:val="20"/>
                <w:szCs w:val="20"/>
                <w:lang w:val="en-US" w:eastAsia="zh-CN"/>
              </w:rPr>
              <w:t>违反前款规定，构成违反治安管理行为的，由公安机关依法给予治安管理处罚；构成犯罪的，依法追究刑事责任。</w:t>
            </w:r>
          </w:p>
        </w:tc>
        <w:tc>
          <w:tcPr>
            <w:tcW w:w="388"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b w:val="0"/>
                <w:bCs w:val="0"/>
                <w:color w:val="auto"/>
                <w:kern w:val="2"/>
                <w:sz w:val="20"/>
                <w:szCs w:val="20"/>
                <w:lang w:val="en-US" w:eastAsia="zh-CN" w:bidi="ar-SA"/>
              </w:rPr>
            </w:pPr>
            <w:r>
              <w:rPr>
                <w:rFonts w:hint="default" w:ascii="Times New Roman" w:hAnsi="Times New Roman" w:eastAsia="仿宋_GB2312" w:cs="Times New Roman"/>
                <w:b w:val="0"/>
                <w:bCs w:val="0"/>
                <w:color w:val="auto"/>
                <w:kern w:val="2"/>
                <w:sz w:val="20"/>
                <w:szCs w:val="20"/>
                <w:lang w:val="en-US" w:eastAsia="zh-CN" w:bidi="ar-SA"/>
              </w:rPr>
              <w:t>重点</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b w:val="0"/>
                <w:bCs w:val="0"/>
                <w:color w:val="auto"/>
                <w:kern w:val="2"/>
                <w:sz w:val="20"/>
                <w:szCs w:val="20"/>
                <w:lang w:val="en-US" w:eastAsia="zh-CN" w:bidi="ar-SA"/>
              </w:rPr>
            </w:pPr>
            <w:r>
              <w:rPr>
                <w:rFonts w:hint="default" w:ascii="Times New Roman" w:hAnsi="Times New Roman" w:eastAsia="仿宋_GB2312" w:cs="Times New Roman"/>
                <w:b w:val="0"/>
                <w:bCs w:val="0"/>
                <w:color w:val="auto"/>
                <w:kern w:val="2"/>
                <w:sz w:val="20"/>
                <w:szCs w:val="20"/>
                <w:lang w:val="en-US" w:eastAsia="zh-CN" w:bidi="ar-SA"/>
              </w:rPr>
              <w:t>检查</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b w:val="0"/>
                <w:bCs w:val="0"/>
                <w:color w:val="auto"/>
                <w:kern w:val="2"/>
                <w:sz w:val="20"/>
                <w:szCs w:val="20"/>
                <w:lang w:val="en-US" w:eastAsia="zh-CN" w:bidi="ar-SA"/>
              </w:rPr>
            </w:pPr>
            <w:r>
              <w:rPr>
                <w:rFonts w:hint="default" w:ascii="Times New Roman" w:hAnsi="Times New Roman" w:eastAsia="仿宋_GB2312" w:cs="Times New Roman"/>
                <w:b w:val="0"/>
                <w:bCs w:val="0"/>
                <w:color w:val="auto"/>
                <w:kern w:val="2"/>
                <w:sz w:val="20"/>
                <w:szCs w:val="20"/>
                <w:lang w:val="en-US" w:eastAsia="zh-CN" w:bidi="ar-SA"/>
              </w:rPr>
              <w:t>事项</w:t>
            </w:r>
          </w:p>
        </w:tc>
      </w:tr>
    </w:tbl>
    <w:p>
      <w:pPr>
        <w:rPr>
          <w:rFonts w:hint="default" w:ascii="Times New Roman" w:hAnsi="Times New Roman" w:cs="Times New Roman"/>
          <w:b w:val="0"/>
          <w:bCs w:val="0"/>
          <w:color w:val="auto"/>
        </w:rPr>
      </w:pPr>
    </w:p>
    <w:tbl>
      <w:tblPr>
        <w:tblStyle w:val="16"/>
        <w:tblW w:w="4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653"/>
        <w:gridCol w:w="1277"/>
        <w:gridCol w:w="1185"/>
        <w:gridCol w:w="6021"/>
        <w:gridCol w:w="4172"/>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53" w:hRule="atLeast"/>
          <w:jc w:val="center"/>
        </w:trPr>
        <w:tc>
          <w:tcPr>
            <w:tcW w:w="228"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1"/>
                <w:szCs w:val="21"/>
                <w:lang w:val="en-US" w:eastAsia="zh-CN"/>
              </w:rPr>
            </w:pPr>
            <w:r>
              <w:rPr>
                <w:rFonts w:hint="default" w:ascii="Times New Roman" w:hAnsi="Times New Roman" w:eastAsia="黑体" w:cs="Times New Roman"/>
                <w:b w:val="0"/>
                <w:bCs w:val="0"/>
                <w:color w:val="auto"/>
                <w:kern w:val="0"/>
                <w:sz w:val="21"/>
                <w:szCs w:val="21"/>
              </w:rPr>
              <w:t>序号</w:t>
            </w:r>
          </w:p>
        </w:tc>
        <w:tc>
          <w:tcPr>
            <w:tcW w:w="446"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1"/>
                <w:szCs w:val="21"/>
                <w:lang w:val="en-US" w:eastAsia="zh-CN"/>
              </w:rPr>
            </w:pPr>
            <w:r>
              <w:rPr>
                <w:rFonts w:hint="default" w:ascii="Times New Roman" w:hAnsi="Times New Roman" w:eastAsia="黑体" w:cs="Times New Roman"/>
                <w:b w:val="0"/>
                <w:bCs w:val="0"/>
                <w:color w:val="auto"/>
                <w:kern w:val="0"/>
                <w:sz w:val="21"/>
                <w:szCs w:val="21"/>
                <w:lang w:eastAsia="zh-CN"/>
              </w:rPr>
              <w:t>检查</w:t>
            </w:r>
            <w:r>
              <w:rPr>
                <w:rFonts w:hint="default" w:ascii="Times New Roman" w:hAnsi="Times New Roman" w:eastAsia="黑体" w:cs="Times New Roman"/>
                <w:b w:val="0"/>
                <w:bCs w:val="0"/>
                <w:color w:val="auto"/>
                <w:kern w:val="0"/>
                <w:sz w:val="21"/>
                <w:szCs w:val="21"/>
              </w:rPr>
              <w:t>事项</w:t>
            </w:r>
          </w:p>
        </w:tc>
        <w:tc>
          <w:tcPr>
            <w:tcW w:w="414"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1"/>
                <w:szCs w:val="21"/>
                <w:lang w:val="en-US" w:eastAsia="zh-CN"/>
              </w:rPr>
            </w:pPr>
            <w:r>
              <w:rPr>
                <w:rFonts w:hint="default" w:ascii="Times New Roman" w:hAnsi="Times New Roman" w:eastAsia="黑体" w:cs="Times New Roman"/>
                <w:b w:val="0"/>
                <w:bCs w:val="0"/>
                <w:color w:val="auto"/>
                <w:kern w:val="0"/>
                <w:sz w:val="21"/>
                <w:szCs w:val="21"/>
                <w:lang w:eastAsia="zh-CN"/>
              </w:rPr>
              <w:t>检查内容</w:t>
            </w:r>
          </w:p>
        </w:tc>
        <w:tc>
          <w:tcPr>
            <w:tcW w:w="2103"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1"/>
                <w:szCs w:val="21"/>
                <w:lang w:val="en-US" w:eastAsia="zh-CN"/>
              </w:rPr>
            </w:pPr>
            <w:r>
              <w:rPr>
                <w:rFonts w:hint="default" w:ascii="Times New Roman" w:hAnsi="Times New Roman" w:eastAsia="黑体" w:cs="Times New Roman"/>
                <w:b w:val="0"/>
                <w:bCs w:val="0"/>
                <w:color w:val="auto"/>
                <w:kern w:val="0"/>
                <w:sz w:val="21"/>
                <w:szCs w:val="21"/>
                <w:lang w:eastAsia="zh-CN"/>
              </w:rPr>
              <w:t>检查依据</w:t>
            </w:r>
          </w:p>
        </w:tc>
        <w:tc>
          <w:tcPr>
            <w:tcW w:w="1457"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1"/>
                <w:szCs w:val="21"/>
                <w:lang w:val="en" w:eastAsia="zh-CN"/>
              </w:rPr>
            </w:pPr>
            <w:r>
              <w:rPr>
                <w:rFonts w:hint="default" w:ascii="Times New Roman" w:hAnsi="Times New Roman" w:eastAsia="黑体" w:cs="Times New Roman"/>
                <w:b w:val="0"/>
                <w:bCs w:val="0"/>
                <w:color w:val="auto"/>
                <w:kern w:val="0"/>
                <w:sz w:val="21"/>
                <w:szCs w:val="21"/>
                <w:lang w:val="en" w:eastAsia="zh-CN"/>
              </w:rPr>
              <w:t>法律责任</w:t>
            </w:r>
          </w:p>
        </w:tc>
        <w:tc>
          <w:tcPr>
            <w:tcW w:w="350"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1"/>
                <w:szCs w:val="21"/>
                <w:lang w:val="en-US" w:eastAsia="zh-CN"/>
              </w:rPr>
            </w:pPr>
            <w:r>
              <w:rPr>
                <w:rFonts w:hint="default" w:ascii="Times New Roman" w:hAnsi="Times New Roman" w:eastAsia="黑体" w:cs="Times New Roman"/>
                <w:b w:val="0"/>
                <w:bCs w:val="0"/>
                <w:color w:val="auto"/>
                <w:kern w:val="0"/>
                <w:sz w:val="21"/>
                <w:szCs w:val="21"/>
                <w:lang w:val="en-US" w:eastAsia="zh-CN"/>
              </w:rPr>
              <w:t>事项</w:t>
            </w:r>
          </w:p>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1"/>
                <w:szCs w:val="21"/>
                <w:lang w:val="en-US" w:eastAsia="zh-CN"/>
              </w:rPr>
            </w:pPr>
            <w:r>
              <w:rPr>
                <w:rFonts w:hint="default" w:ascii="Times New Roman" w:hAnsi="Times New Roman" w:eastAsia="黑体" w:cs="Times New Roman"/>
                <w:b w:val="0"/>
                <w:bCs w:val="0"/>
                <w:color w:val="auto"/>
                <w:kern w:val="0"/>
                <w:sz w:val="21"/>
                <w:szCs w:val="21"/>
                <w:lang w:val="en-US" w:eastAsia="zh-CN"/>
              </w:rPr>
              <w:t>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137" w:hRule="atLeast"/>
          <w:jc w:val="center"/>
        </w:trPr>
        <w:tc>
          <w:tcPr>
            <w:tcW w:w="228"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leftChars="0" w:right="0" w:rightChars="0"/>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kern w:val="0"/>
                <w:sz w:val="18"/>
                <w:szCs w:val="18"/>
                <w:lang w:val="en-US" w:eastAsia="zh-CN"/>
              </w:rPr>
              <w:t>2</w:t>
            </w:r>
          </w:p>
        </w:tc>
        <w:tc>
          <w:tcPr>
            <w:tcW w:w="446"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leftChars="0" w:right="0" w:rightChars="0"/>
              <w:jc w:val="both"/>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kern w:val="0"/>
                <w:sz w:val="18"/>
                <w:szCs w:val="18"/>
                <w:lang w:val="en-US" w:eastAsia="zh-CN"/>
              </w:rPr>
              <w:t>社会保险核查</w:t>
            </w:r>
          </w:p>
        </w:tc>
        <w:tc>
          <w:tcPr>
            <w:tcW w:w="414"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leftChars="0" w:right="0" w:rightChars="0"/>
              <w:jc w:val="left"/>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kern w:val="0"/>
                <w:sz w:val="18"/>
                <w:szCs w:val="18"/>
                <w:lang w:val="en-US" w:eastAsia="zh-CN"/>
              </w:rPr>
              <w:t>用人单位是否按规定办理参保登记及变更等事项</w:t>
            </w:r>
          </w:p>
        </w:tc>
        <w:tc>
          <w:tcPr>
            <w:tcW w:w="2103" w:type="pct"/>
            <w:noWrap w:val="0"/>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18"/>
                <w:szCs w:val="18"/>
                <w:lang w:val="en-US" w:eastAsia="zh-CN"/>
              </w:rPr>
            </w:pPr>
            <w:r>
              <w:rPr>
                <w:rFonts w:hint="default" w:ascii="Times New Roman" w:hAnsi="Times New Roman" w:eastAsia="仿宋_GB2312" w:cs="Times New Roman"/>
                <w:b w:val="0"/>
                <w:bCs w:val="0"/>
                <w:color w:val="auto"/>
                <w:kern w:val="0"/>
                <w:sz w:val="18"/>
                <w:szCs w:val="18"/>
                <w:lang w:val="en-US" w:eastAsia="zh-CN"/>
              </w:rPr>
              <w:t>1.《中华人民共和国社会保险法》第七十七条 县级以上人民政府社会保险行政部门应当加强对用人单位和个人遵守社会保险法律、法规情况的监督检查。</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18"/>
                <w:szCs w:val="18"/>
                <w:lang w:val="en-US" w:eastAsia="zh-CN"/>
              </w:rPr>
            </w:pPr>
            <w:r>
              <w:rPr>
                <w:rFonts w:hint="default" w:ascii="Times New Roman" w:hAnsi="Times New Roman" w:eastAsia="仿宋_GB2312" w:cs="Times New Roman"/>
                <w:b w:val="0"/>
                <w:bCs w:val="0"/>
                <w:color w:val="auto"/>
                <w:kern w:val="0"/>
                <w:sz w:val="18"/>
                <w:szCs w:val="18"/>
                <w:lang w:val="en-US" w:eastAsia="zh-CN"/>
              </w:rPr>
              <w:t>社会保险行政部门实施监督检查时，被检查的用人单位和个人应当如实提供与社会保险有关的资料，不得拒绝检查或者谎报、瞒报。</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18"/>
                <w:szCs w:val="18"/>
                <w:lang w:val="en-US" w:eastAsia="zh-CN"/>
              </w:rPr>
            </w:pPr>
            <w:r>
              <w:rPr>
                <w:rFonts w:hint="default" w:ascii="Times New Roman" w:hAnsi="Times New Roman" w:eastAsia="仿宋_GB2312" w:cs="Times New Roman"/>
                <w:b w:val="0"/>
                <w:bCs w:val="0"/>
                <w:color w:val="auto"/>
                <w:kern w:val="0"/>
                <w:sz w:val="18"/>
                <w:szCs w:val="18"/>
                <w:lang w:val="en-US" w:eastAsia="zh-CN"/>
              </w:rPr>
              <w:t>2.《社会保险经办条例》第四十二条　社会保险经办机构应当核查下列事项：</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18"/>
                <w:szCs w:val="18"/>
                <w:lang w:val="en-US" w:eastAsia="zh-CN"/>
              </w:rPr>
            </w:pPr>
            <w:r>
              <w:rPr>
                <w:rFonts w:hint="default" w:ascii="Times New Roman" w:hAnsi="Times New Roman" w:eastAsia="仿宋_GB2312" w:cs="Times New Roman"/>
                <w:b w:val="0"/>
                <w:bCs w:val="0"/>
                <w:color w:val="auto"/>
                <w:kern w:val="0"/>
                <w:sz w:val="18"/>
                <w:szCs w:val="18"/>
                <w:lang w:val="en-US" w:eastAsia="zh-CN"/>
              </w:rPr>
              <w:t>（一）社会保险登记和待遇享受等情况；</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18"/>
                <w:szCs w:val="18"/>
                <w:lang w:val="en-US" w:eastAsia="zh-CN"/>
              </w:rPr>
            </w:pPr>
            <w:r>
              <w:rPr>
                <w:rFonts w:hint="default" w:ascii="Times New Roman" w:hAnsi="Times New Roman" w:eastAsia="仿宋_GB2312" w:cs="Times New Roman"/>
                <w:b w:val="0"/>
                <w:bCs w:val="0"/>
                <w:color w:val="auto"/>
                <w:kern w:val="0"/>
                <w:sz w:val="18"/>
                <w:szCs w:val="18"/>
                <w:lang w:val="en-US" w:eastAsia="zh-CN"/>
              </w:rPr>
              <w:t>（二）社会保险服务机构履行服务协议、执行费用结算项目和标准情况；　</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18"/>
                <w:szCs w:val="18"/>
                <w:lang w:val="en-US" w:eastAsia="zh-CN"/>
              </w:rPr>
            </w:pPr>
            <w:r>
              <w:rPr>
                <w:rFonts w:hint="default" w:ascii="Times New Roman" w:hAnsi="Times New Roman" w:eastAsia="仿宋_GB2312" w:cs="Times New Roman"/>
                <w:b w:val="0"/>
                <w:bCs w:val="0"/>
                <w:color w:val="auto"/>
                <w:kern w:val="0"/>
                <w:sz w:val="18"/>
                <w:szCs w:val="18"/>
                <w:lang w:val="en-US" w:eastAsia="zh-CN"/>
              </w:rPr>
              <w:t xml:space="preserve">（三）法律、法规规定的其他事项。       </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18"/>
                <w:szCs w:val="18"/>
                <w:lang w:val="en-US" w:eastAsia="zh-CN"/>
              </w:rPr>
            </w:pPr>
            <w:r>
              <w:rPr>
                <w:rFonts w:hint="default" w:ascii="Times New Roman" w:hAnsi="Times New Roman" w:eastAsia="仿宋_GB2312" w:cs="Times New Roman"/>
                <w:b w:val="0"/>
                <w:bCs w:val="0"/>
                <w:color w:val="auto"/>
                <w:kern w:val="0"/>
                <w:sz w:val="18"/>
                <w:szCs w:val="18"/>
                <w:lang w:val="en" w:eastAsia="zh-CN"/>
              </w:rPr>
              <w:t>3.</w:t>
            </w:r>
            <w:r>
              <w:rPr>
                <w:rFonts w:hint="default" w:ascii="Times New Roman" w:hAnsi="Times New Roman" w:eastAsia="仿宋_GB2312" w:cs="Times New Roman"/>
                <w:b w:val="0"/>
                <w:bCs w:val="0"/>
                <w:color w:val="auto"/>
                <w:kern w:val="0"/>
                <w:sz w:val="18"/>
                <w:szCs w:val="18"/>
                <w:lang w:val="en-US" w:eastAsia="zh-CN"/>
              </w:rPr>
              <w:t>《社会保险稽核办法》第二条　本办法所称稽核是指社会保险经办机构依法对社会保险费缴纳情况和社会保险待遇领取情况进行的核查。</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kern w:val="0"/>
                <w:sz w:val="18"/>
                <w:szCs w:val="18"/>
                <w:lang w:val="en" w:eastAsia="zh-CN"/>
              </w:rPr>
              <w:t>4</w:t>
            </w:r>
            <w:r>
              <w:rPr>
                <w:rFonts w:hint="default" w:ascii="Times New Roman" w:hAnsi="Times New Roman" w:eastAsia="仿宋_GB2312" w:cs="Times New Roman"/>
                <w:b w:val="0"/>
                <w:bCs w:val="0"/>
                <w:color w:val="auto"/>
                <w:kern w:val="0"/>
                <w:sz w:val="18"/>
                <w:szCs w:val="18"/>
                <w:lang w:val="en-US" w:eastAsia="zh-CN"/>
              </w:rPr>
              <w:t>.《社会保险稽核办法》第三条　县级以上社会保险经办机构负责社会保险稽核工作。县级以上社会保险经办机构的稽核部门具体承办社会保险稽核工作。</w:t>
            </w:r>
          </w:p>
        </w:tc>
        <w:tc>
          <w:tcPr>
            <w:tcW w:w="1457" w:type="pct"/>
            <w:noWrap w:val="0"/>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18"/>
                <w:szCs w:val="18"/>
                <w:lang w:val="en" w:eastAsia="zh-CN"/>
              </w:rPr>
            </w:pP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18"/>
                <w:szCs w:val="18"/>
                <w:lang w:val="en" w:eastAsia="zh-CN"/>
              </w:rPr>
            </w:pP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18"/>
                <w:szCs w:val="18"/>
                <w:lang w:val="en-US" w:eastAsia="zh-CN"/>
              </w:rPr>
            </w:pPr>
            <w:r>
              <w:rPr>
                <w:rFonts w:hint="default" w:ascii="Times New Roman" w:hAnsi="Times New Roman" w:eastAsia="仿宋_GB2312" w:cs="Times New Roman"/>
                <w:b w:val="0"/>
                <w:bCs w:val="0"/>
                <w:color w:val="auto"/>
                <w:kern w:val="0"/>
                <w:sz w:val="18"/>
                <w:szCs w:val="18"/>
                <w:lang w:val="en" w:eastAsia="zh-CN"/>
              </w:rPr>
              <w:t>1.</w:t>
            </w:r>
            <w:r>
              <w:rPr>
                <w:rFonts w:hint="default" w:ascii="Times New Roman" w:hAnsi="Times New Roman" w:eastAsia="仿宋_GB2312" w:cs="Times New Roman"/>
                <w:b w:val="0"/>
                <w:bCs w:val="0"/>
                <w:color w:val="auto"/>
                <w:kern w:val="0"/>
                <w:sz w:val="18"/>
                <w:szCs w:val="18"/>
                <w:lang w:val="en-US" w:eastAsia="zh-CN"/>
              </w:rPr>
              <w:t xml:space="preserve">《中华人民共和国社会保险法》第八十四条　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     </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2"/>
                <w:sz w:val="18"/>
                <w:szCs w:val="18"/>
                <w:lang w:val="en" w:eastAsia="zh-CN" w:bidi="ar-SA"/>
              </w:rPr>
            </w:pPr>
            <w:r>
              <w:rPr>
                <w:rFonts w:hint="default" w:ascii="Times New Roman" w:hAnsi="Times New Roman" w:eastAsia="仿宋_GB2312" w:cs="Times New Roman"/>
                <w:b w:val="0"/>
                <w:bCs w:val="0"/>
                <w:color w:val="auto"/>
                <w:kern w:val="0"/>
                <w:sz w:val="18"/>
                <w:szCs w:val="18"/>
                <w:lang w:val="en" w:eastAsia="zh-CN"/>
              </w:rPr>
              <w:t>2.</w:t>
            </w:r>
            <w:r>
              <w:rPr>
                <w:rFonts w:hint="default" w:ascii="Times New Roman" w:hAnsi="Times New Roman" w:eastAsia="仿宋_GB2312" w:cs="Times New Roman"/>
                <w:b w:val="0"/>
                <w:bCs w:val="0"/>
                <w:color w:val="auto"/>
                <w:kern w:val="0"/>
                <w:sz w:val="18"/>
                <w:szCs w:val="18"/>
                <w:lang w:val="en-US" w:eastAsia="zh-CN"/>
              </w:rPr>
              <w:t>《社会保险经办条例》第四十四条　社会保险经办机构发现用人单位、个人、社会保险服务机构违反社会保险法律、法规、规章的，应当责令改正</w:t>
            </w:r>
            <w:r>
              <w:rPr>
                <w:rFonts w:hint="eastAsia" w:ascii="Times New Roman" w:hAnsi="Times New Roman" w:eastAsia="仿宋_GB2312" w:cs="Times New Roman"/>
                <w:b w:val="0"/>
                <w:bCs w:val="0"/>
                <w:color w:val="auto"/>
                <w:kern w:val="0"/>
                <w:sz w:val="18"/>
                <w:szCs w:val="18"/>
                <w:lang w:val="en-US" w:eastAsia="zh-CN"/>
              </w:rPr>
              <w:t>。</w:t>
            </w:r>
            <w:r>
              <w:rPr>
                <w:rFonts w:hint="default" w:ascii="Times New Roman" w:hAnsi="Times New Roman" w:eastAsia="仿宋_GB2312" w:cs="Times New Roman"/>
                <w:b w:val="0"/>
                <w:bCs w:val="0"/>
                <w:color w:val="auto"/>
                <w:kern w:val="0"/>
                <w:sz w:val="18"/>
                <w:szCs w:val="18"/>
                <w:lang w:val="en-US" w:eastAsia="zh-CN"/>
              </w:rPr>
              <w:t>对拒不改正或者依法应当由人力资源社会保障行政部门、医疗保障行政部门处理的，及时移交人力资源社会保障行政部门、医疗保障行政部门处理。</w:t>
            </w:r>
          </w:p>
        </w:tc>
        <w:tc>
          <w:tcPr>
            <w:tcW w:w="350" w:type="pct"/>
            <w:noWrap w:val="0"/>
            <w:vAlign w:val="center"/>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color w:val="auto"/>
                <w:kern w:val="2"/>
                <w:sz w:val="18"/>
                <w:szCs w:val="18"/>
                <w:lang w:val="en-US" w:eastAsia="zh-CN" w:bidi="ar-SA"/>
              </w:rPr>
            </w:pPr>
            <w:r>
              <w:rPr>
                <w:rFonts w:hint="default" w:ascii="Times New Roman" w:hAnsi="Times New Roman" w:eastAsia="仿宋_GB2312" w:cs="Times New Roman"/>
                <w:b w:val="0"/>
                <w:bCs w:val="0"/>
                <w:color w:val="auto"/>
                <w:kern w:val="2"/>
                <w:sz w:val="18"/>
                <w:szCs w:val="18"/>
                <w:lang w:val="en-US" w:eastAsia="zh-CN" w:bidi="ar-SA"/>
              </w:rPr>
              <w:t>重点</w:t>
            </w:r>
          </w:p>
          <w:p>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color w:val="auto"/>
                <w:kern w:val="2"/>
                <w:sz w:val="18"/>
                <w:szCs w:val="18"/>
                <w:lang w:val="en-US" w:eastAsia="zh-CN" w:bidi="ar-SA"/>
              </w:rPr>
            </w:pPr>
            <w:r>
              <w:rPr>
                <w:rFonts w:hint="default" w:ascii="Times New Roman" w:hAnsi="Times New Roman" w:eastAsia="仿宋_GB2312" w:cs="Times New Roman"/>
                <w:b w:val="0"/>
                <w:bCs w:val="0"/>
                <w:color w:val="auto"/>
                <w:kern w:val="2"/>
                <w:sz w:val="18"/>
                <w:szCs w:val="18"/>
                <w:lang w:val="en-US" w:eastAsia="zh-CN" w:bidi="ar-SA"/>
              </w:rPr>
              <w:t>检查</w:t>
            </w:r>
          </w:p>
          <w:p>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color w:val="auto"/>
                <w:kern w:val="2"/>
                <w:sz w:val="18"/>
                <w:szCs w:val="18"/>
                <w:lang w:val="en-US" w:eastAsia="zh-CN" w:bidi="ar-SA"/>
              </w:rPr>
            </w:pPr>
            <w:r>
              <w:rPr>
                <w:rFonts w:hint="default" w:ascii="Times New Roman" w:hAnsi="Times New Roman" w:eastAsia="仿宋_GB2312" w:cs="Times New Roman"/>
                <w:b w:val="0"/>
                <w:bCs w:val="0"/>
                <w:color w:val="auto"/>
                <w:kern w:val="2"/>
                <w:sz w:val="18"/>
                <w:szCs w:val="18"/>
                <w:lang w:val="en-US" w:eastAsia="zh-CN" w:bidi="ar-SA"/>
              </w:rPr>
              <w:t>事项</w:t>
            </w:r>
          </w:p>
        </w:tc>
      </w:tr>
    </w:tbl>
    <w:p>
      <w:pPr>
        <w:pStyle w:val="3"/>
        <w:spacing w:line="240" w:lineRule="auto"/>
        <w:jc w:val="center"/>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br w:type="page"/>
      </w:r>
    </w:p>
    <w:p>
      <w:pPr>
        <w:pStyle w:val="3"/>
        <w:spacing w:line="240" w:lineRule="auto"/>
        <w:jc w:val="center"/>
        <w:rPr>
          <w:rFonts w:hint="default" w:ascii="Times New Roman" w:hAnsi="Times New Roman" w:eastAsia="方正小标宋简体" w:cs="Times New Roman"/>
          <w:b w:val="0"/>
          <w:bCs w:val="0"/>
          <w:color w:val="auto"/>
          <w:sz w:val="36"/>
          <w:szCs w:val="36"/>
        </w:rPr>
      </w:pPr>
      <w:bookmarkStart w:id="2" w:name="_Toc1573714395"/>
      <w:r>
        <w:rPr>
          <w:rFonts w:hint="default" w:ascii="Times New Roman" w:hAnsi="Times New Roman" w:eastAsia="方正小标宋简体" w:cs="Times New Roman"/>
          <w:b w:val="0"/>
          <w:bCs w:val="0"/>
          <w:color w:val="auto"/>
          <w:sz w:val="36"/>
          <w:szCs w:val="36"/>
          <w:lang w:val="en-US" w:eastAsia="zh-CN"/>
        </w:rPr>
        <w:t>二、医疗机构</w:t>
      </w:r>
      <w:r>
        <w:rPr>
          <w:rFonts w:hint="default" w:ascii="Times New Roman" w:hAnsi="Times New Roman" w:eastAsia="方正小标宋简体" w:cs="Times New Roman"/>
          <w:b w:val="0"/>
          <w:bCs w:val="0"/>
          <w:color w:val="auto"/>
          <w:sz w:val="36"/>
          <w:szCs w:val="36"/>
        </w:rPr>
        <w:t>检查</w:t>
      </w:r>
      <w:bookmarkEnd w:id="1"/>
      <w:r>
        <w:rPr>
          <w:rFonts w:hint="default" w:ascii="Times New Roman" w:hAnsi="Times New Roman" w:eastAsia="方正小标宋简体" w:cs="Times New Roman"/>
          <w:b w:val="0"/>
          <w:bCs w:val="0"/>
          <w:color w:val="auto"/>
          <w:sz w:val="36"/>
          <w:szCs w:val="36"/>
        </w:rPr>
        <w:t>事项</w:t>
      </w:r>
      <w:bookmarkEnd w:id="2"/>
    </w:p>
    <w:tbl>
      <w:tblPr>
        <w:tblStyle w:val="16"/>
        <w:tblW w:w="50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727"/>
        <w:gridCol w:w="1092"/>
        <w:gridCol w:w="1578"/>
        <w:gridCol w:w="4652"/>
        <w:gridCol w:w="6919"/>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39" w:hRule="atLeast"/>
          <w:tblHeader/>
          <w:jc w:val="center"/>
        </w:trPr>
        <w:tc>
          <w:tcPr>
            <w:tcW w:w="229" w:type="pct"/>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1"/>
                <w:szCs w:val="21"/>
              </w:rPr>
            </w:pPr>
            <w:r>
              <w:rPr>
                <w:rFonts w:hint="default" w:ascii="Times New Roman" w:hAnsi="Times New Roman" w:eastAsia="黑体" w:cs="Times New Roman"/>
                <w:b w:val="0"/>
                <w:bCs w:val="0"/>
                <w:color w:val="auto"/>
                <w:kern w:val="0"/>
                <w:sz w:val="21"/>
                <w:szCs w:val="21"/>
              </w:rPr>
              <w:t>序号</w:t>
            </w:r>
          </w:p>
        </w:tc>
        <w:tc>
          <w:tcPr>
            <w:tcW w:w="344" w:type="pct"/>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1"/>
                <w:szCs w:val="21"/>
              </w:rPr>
            </w:pPr>
            <w:r>
              <w:rPr>
                <w:rFonts w:hint="default" w:ascii="Times New Roman" w:hAnsi="Times New Roman" w:eastAsia="黑体" w:cs="Times New Roman"/>
                <w:b w:val="0"/>
                <w:bCs w:val="0"/>
                <w:color w:val="auto"/>
                <w:kern w:val="0"/>
                <w:sz w:val="21"/>
                <w:szCs w:val="21"/>
              </w:rPr>
              <w:t>检查事项</w:t>
            </w:r>
          </w:p>
        </w:tc>
        <w:tc>
          <w:tcPr>
            <w:tcW w:w="497" w:type="pct"/>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1"/>
                <w:szCs w:val="21"/>
              </w:rPr>
            </w:pPr>
            <w:r>
              <w:rPr>
                <w:rFonts w:hint="default" w:ascii="Times New Roman" w:hAnsi="Times New Roman" w:eastAsia="黑体" w:cs="Times New Roman"/>
                <w:b w:val="0"/>
                <w:bCs w:val="0"/>
                <w:color w:val="auto"/>
                <w:kern w:val="0"/>
                <w:sz w:val="21"/>
                <w:szCs w:val="21"/>
              </w:rPr>
              <w:t>检查内容</w:t>
            </w:r>
          </w:p>
        </w:tc>
        <w:tc>
          <w:tcPr>
            <w:tcW w:w="1465" w:type="pct"/>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1"/>
                <w:szCs w:val="21"/>
              </w:rPr>
            </w:pPr>
            <w:r>
              <w:rPr>
                <w:rFonts w:hint="default" w:ascii="Times New Roman" w:hAnsi="Times New Roman" w:eastAsia="黑体" w:cs="Times New Roman"/>
                <w:b w:val="0"/>
                <w:bCs w:val="0"/>
                <w:color w:val="auto"/>
                <w:kern w:val="0"/>
                <w:sz w:val="21"/>
                <w:szCs w:val="21"/>
              </w:rPr>
              <w:t>检查依据</w:t>
            </w:r>
          </w:p>
        </w:tc>
        <w:tc>
          <w:tcPr>
            <w:tcW w:w="2179" w:type="pct"/>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1"/>
                <w:szCs w:val="21"/>
              </w:rPr>
            </w:pPr>
            <w:r>
              <w:rPr>
                <w:rFonts w:hint="default" w:ascii="Times New Roman" w:hAnsi="Times New Roman" w:eastAsia="黑体" w:cs="Times New Roman"/>
                <w:b w:val="0"/>
                <w:bCs w:val="0"/>
                <w:color w:val="auto"/>
                <w:kern w:val="0"/>
                <w:sz w:val="21"/>
                <w:szCs w:val="21"/>
              </w:rPr>
              <w:t>法律责任</w:t>
            </w:r>
          </w:p>
        </w:tc>
        <w:tc>
          <w:tcPr>
            <w:tcW w:w="284" w:type="pct"/>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1"/>
                <w:szCs w:val="21"/>
                <w:lang w:val="en-US" w:eastAsia="zh-CN"/>
              </w:rPr>
            </w:pPr>
            <w:r>
              <w:rPr>
                <w:rFonts w:hint="default" w:ascii="Times New Roman" w:hAnsi="Times New Roman" w:eastAsia="黑体" w:cs="Times New Roman"/>
                <w:b w:val="0"/>
                <w:bCs w:val="0"/>
                <w:color w:val="auto"/>
                <w:kern w:val="0"/>
                <w:sz w:val="21"/>
                <w:szCs w:val="21"/>
                <w:lang w:val="en-US" w:eastAsia="zh-CN"/>
              </w:rPr>
              <w:t>事项</w:t>
            </w:r>
          </w:p>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1"/>
                <w:szCs w:val="21"/>
                <w:lang w:val="en-US" w:eastAsia="zh-CN"/>
              </w:rPr>
            </w:pPr>
            <w:r>
              <w:rPr>
                <w:rFonts w:hint="default" w:ascii="Times New Roman" w:hAnsi="Times New Roman" w:eastAsia="黑体" w:cs="Times New Roman"/>
                <w:b w:val="0"/>
                <w:bCs w:val="0"/>
                <w:color w:val="auto"/>
                <w:kern w:val="0"/>
                <w:sz w:val="21"/>
                <w:szCs w:val="21"/>
                <w:lang w:val="en-US" w:eastAsia="zh-CN"/>
              </w:rPr>
              <w:t>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83" w:hRule="atLeast"/>
          <w:jc w:val="center"/>
        </w:trPr>
        <w:tc>
          <w:tcPr>
            <w:tcW w:w="229"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rPr>
              <w:t>1</w:t>
            </w:r>
          </w:p>
        </w:tc>
        <w:tc>
          <w:tcPr>
            <w:tcW w:w="344" w:type="pct"/>
            <w:vMerge w:val="restart"/>
            <w:vAlign w:val="center"/>
          </w:tcPr>
          <w:p>
            <w:pPr>
              <w:keepNext w:val="0"/>
              <w:keepLines w:val="0"/>
              <w:widowControl/>
              <w:suppressLineNumbers w:val="0"/>
              <w:adjustRightInd w:val="0"/>
              <w:snapToGrid w:val="0"/>
              <w:spacing w:before="0" w:beforeAutospacing="0" w:after="0" w:afterAutospacing="0"/>
              <w:ind w:left="0" w:right="0"/>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lang w:val="en-US" w:eastAsia="zh-CN"/>
              </w:rPr>
              <w:t>定点医疗机构医疗保障基金使用管理制度建立</w:t>
            </w:r>
            <w:r>
              <w:rPr>
                <w:rFonts w:hint="default" w:ascii="Times New Roman" w:hAnsi="Times New Roman" w:eastAsia="仿宋_GB2312" w:cs="Times New Roman"/>
                <w:b w:val="0"/>
                <w:bCs w:val="0"/>
                <w:color w:val="auto"/>
                <w:kern w:val="0"/>
                <w:sz w:val="21"/>
                <w:szCs w:val="21"/>
              </w:rPr>
              <w:t>情况</w:t>
            </w:r>
          </w:p>
        </w:tc>
        <w:tc>
          <w:tcPr>
            <w:tcW w:w="497"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1.1是否建立医疗保障基金使用内部管理制度</w:t>
            </w:r>
          </w:p>
        </w:tc>
        <w:tc>
          <w:tcPr>
            <w:tcW w:w="1465" w:type="pct"/>
            <w:vMerge w:val="restar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《医疗保障基金使用监督管理条例》第十四条　定点医药机构应当建立医疗保障基金使用内部管理制度，由专门机构或者人员负责医疗保障基金使用管理工作，建立健全考核评价体系。</w:t>
            </w:r>
          </w:p>
        </w:tc>
        <w:tc>
          <w:tcPr>
            <w:tcW w:w="2179" w:type="pct"/>
            <w:vMerge w:val="restar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《医疗保障基金使用监督管理条例》第三十九条  定点医药机构有下列情形之一的，由医疗保障行政部门责令改正，并可以约谈有关负责人；拒不改正的，处1万元以上5万元以下的罚款；违反其他法律、行政法规的，由有关主管部门依法处理：</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（一）未建立医疗保障基金使用内部管理制度，或者没有专门机构或者人员负责医疗保障基金使用管理工作；</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（二）未按照规定保管财务账目、会计凭证、处方、病历、治疗检查记录、费用明细、药品和医用耗材出入库记录等资料；</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（三）未按照规定通过医疗保障信息系统传送医疗保障基金使用有关数据；</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（四）未按照规定向医疗保障行政部门报告医疗保障基金使用监督管理所需信息；</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（五）未按照规定向社会公开医药费用、费用结构等信息；</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（六）除急诊、抢救等特殊情形外，未经参保人员或者其近亲属、监护人同意提供医疗保障基金支付范围以外的医药服务；</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（七）拒绝医疗保障等行政部门监督检查或者提供虚假情况。</w:t>
            </w:r>
          </w:p>
        </w:tc>
        <w:tc>
          <w:tcPr>
            <w:tcW w:w="284" w:type="pct"/>
            <w:vMerge w:val="restart"/>
            <w:vAlign w:val="center"/>
          </w:tcPr>
          <w:p>
            <w:pPr>
              <w:pStyle w:val="29"/>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一般</w:t>
            </w:r>
          </w:p>
          <w:p>
            <w:pPr>
              <w:pStyle w:val="29"/>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检查</w:t>
            </w:r>
          </w:p>
          <w:p>
            <w:pPr>
              <w:pStyle w:val="29"/>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仿宋_GB2312"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580" w:hRule="atLeast"/>
          <w:jc w:val="center"/>
        </w:trPr>
        <w:tc>
          <w:tcPr>
            <w:tcW w:w="229" w:type="pct"/>
            <w:vMerge w:val="continue"/>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cs="Times New Roman"/>
                <w:b w:val="0"/>
                <w:bCs w:val="0"/>
                <w:color w:val="auto"/>
              </w:rPr>
            </w:pPr>
          </w:p>
        </w:tc>
        <w:tc>
          <w:tcPr>
            <w:tcW w:w="344" w:type="pct"/>
            <w:vMerge w:val="continue"/>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cs="Times New Roman"/>
                <w:b w:val="0"/>
                <w:bCs w:val="0"/>
                <w:color w:val="auto"/>
                <w:sz w:val="21"/>
                <w:szCs w:val="21"/>
              </w:rPr>
            </w:pPr>
          </w:p>
        </w:tc>
        <w:tc>
          <w:tcPr>
            <w:tcW w:w="497"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1.2是否有专门机构或人员负责医疗保障基金使用管理工作</w:t>
            </w:r>
          </w:p>
        </w:tc>
        <w:tc>
          <w:tcPr>
            <w:tcW w:w="1465" w:type="pct"/>
            <w:vMerge w:val="continue"/>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18"/>
                <w:szCs w:val="18"/>
                <w:lang w:val="en-US" w:eastAsia="zh-CN"/>
              </w:rPr>
            </w:pPr>
          </w:p>
        </w:tc>
        <w:tc>
          <w:tcPr>
            <w:tcW w:w="2179" w:type="pct"/>
            <w:vMerge w:val="continue"/>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18"/>
                <w:szCs w:val="18"/>
                <w:lang w:val="en-US" w:eastAsia="zh-CN"/>
              </w:rPr>
            </w:pPr>
          </w:p>
        </w:tc>
        <w:tc>
          <w:tcPr>
            <w:tcW w:w="284" w:type="pct"/>
            <w:vMerge w:val="continue"/>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29"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val="0"/>
                <w:bCs w:val="0"/>
                <w:color w:val="auto"/>
                <w:kern w:val="0"/>
                <w:sz w:val="20"/>
                <w:szCs w:val="20"/>
              </w:rPr>
            </w:pPr>
            <w:r>
              <w:rPr>
                <w:rFonts w:hint="default" w:ascii="Times New Roman" w:hAnsi="Times New Roman" w:eastAsia="仿宋_GB2312" w:cs="Times New Roman"/>
                <w:b w:val="0"/>
                <w:bCs w:val="0"/>
                <w:color w:val="auto"/>
                <w:kern w:val="0"/>
                <w:sz w:val="20"/>
                <w:szCs w:val="20"/>
              </w:rPr>
              <w:t>2</w:t>
            </w:r>
          </w:p>
        </w:tc>
        <w:tc>
          <w:tcPr>
            <w:tcW w:w="344" w:type="pct"/>
            <w:vMerge w:val="restart"/>
            <w:vAlign w:val="center"/>
          </w:tcPr>
          <w:p>
            <w:pPr>
              <w:keepNext w:val="0"/>
              <w:keepLines w:val="0"/>
              <w:widowControl/>
              <w:suppressLineNumbers w:val="0"/>
              <w:adjustRightInd w:val="0"/>
              <w:snapToGrid w:val="0"/>
              <w:spacing w:before="0" w:beforeAutospacing="0" w:after="0" w:afterAutospacing="0"/>
              <w:ind w:left="0" w:right="0"/>
              <w:rPr>
                <w:rFonts w:hint="default" w:ascii="Times New Roman" w:hAnsi="Times New Roman" w:eastAsia="仿宋_GB2312" w:cs="Times New Roman"/>
                <w:b w:val="0"/>
                <w:bCs w:val="0"/>
                <w:color w:val="auto"/>
                <w:kern w:val="0"/>
                <w:sz w:val="20"/>
                <w:szCs w:val="20"/>
              </w:rPr>
            </w:pPr>
            <w:r>
              <w:rPr>
                <w:rFonts w:hint="default" w:ascii="Times New Roman" w:hAnsi="Times New Roman" w:eastAsia="仿宋_GB2312" w:cs="Times New Roman"/>
                <w:b w:val="0"/>
                <w:bCs w:val="0"/>
                <w:color w:val="auto"/>
                <w:kern w:val="0"/>
                <w:sz w:val="20"/>
                <w:szCs w:val="20"/>
                <w:lang w:val="en-US" w:eastAsia="zh-CN"/>
              </w:rPr>
              <w:t>定点医疗机构医疗保障基金使用管理制度执行</w:t>
            </w:r>
            <w:r>
              <w:rPr>
                <w:rFonts w:hint="default" w:ascii="Times New Roman" w:hAnsi="Times New Roman" w:eastAsia="仿宋_GB2312" w:cs="Times New Roman"/>
                <w:b w:val="0"/>
                <w:bCs w:val="0"/>
                <w:color w:val="auto"/>
                <w:kern w:val="0"/>
                <w:sz w:val="20"/>
                <w:szCs w:val="20"/>
              </w:rPr>
              <w:t>情况</w:t>
            </w:r>
          </w:p>
        </w:tc>
        <w:tc>
          <w:tcPr>
            <w:tcW w:w="497"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2.1是否按照规定保管相关资料</w:t>
            </w:r>
          </w:p>
        </w:tc>
        <w:tc>
          <w:tcPr>
            <w:tcW w:w="1465" w:type="pct"/>
            <w:vMerge w:val="restart"/>
            <w:vAlign w:val="center"/>
          </w:tcPr>
          <w:p>
            <w:pPr>
              <w:keepNext w:val="0"/>
              <w:keepLines w:val="0"/>
              <w:suppressLineNumbers w:val="0"/>
              <w:suppressAutoHyphens/>
              <w:bidi w:val="0"/>
              <w:spacing w:before="0" w:beforeAutospacing="0" w:after="0" w:afterAutospacing="0" w:line="240" w:lineRule="auto"/>
              <w:ind w:left="0" w:right="0"/>
              <w:jc w:val="left"/>
              <w:rPr>
                <w:rFonts w:hint="default" w:ascii="Times New Roman" w:hAnsi="Times New Roman" w:eastAsia="仿宋_GB2312" w:cs="Times New Roman"/>
                <w:b w:val="0"/>
                <w:bCs w:val="0"/>
                <w:color w:val="auto"/>
                <w:kern w:val="0"/>
                <w:sz w:val="20"/>
                <w:szCs w:val="20"/>
                <w:lang w:val="en-US" w:eastAsia="zh-CN"/>
              </w:rPr>
            </w:pPr>
          </w:p>
          <w:p>
            <w:pPr>
              <w:keepNext w:val="0"/>
              <w:keepLines w:val="0"/>
              <w:suppressLineNumbers w:val="0"/>
              <w:suppressAutoHyphens/>
              <w:bidi w:val="0"/>
              <w:spacing w:before="0" w:beforeAutospacing="0" w:after="0" w:afterAutospacing="0" w:line="240" w:lineRule="auto"/>
              <w:ind w:left="0" w:right="0"/>
              <w:jc w:val="left"/>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《医疗保障基金使用监督管理条例》第十六条　定点医药机构应当按照规定保管财务账目、会计凭证、处方、病历、治疗检查记录、费用明细、药品和医用耗材出入库记录等资料，及时通过医疗保障信息系统全面准确传送医疗保障基金使用有关数据，向医疗保障行政部门报告医疗保障基金使用监督管理所需信息，向社会公开医药费用、费用结构等信息，接受社会监督。</w:t>
            </w:r>
          </w:p>
          <w:p>
            <w:pPr>
              <w:keepNext w:val="0"/>
              <w:keepLines w:val="0"/>
              <w:suppressLineNumbers w:val="0"/>
              <w:suppressAutoHyphens/>
              <w:bidi w:val="0"/>
              <w:spacing w:before="0" w:beforeAutospacing="0" w:after="0" w:afterAutospacing="0" w:line="240" w:lineRule="auto"/>
              <w:ind w:left="0" w:right="0"/>
              <w:jc w:val="left"/>
              <w:rPr>
                <w:rFonts w:hint="default" w:ascii="Times New Roman" w:hAnsi="Times New Roman" w:eastAsia="仿宋_GB2312" w:cs="Times New Roman"/>
                <w:b w:val="0"/>
                <w:bCs w:val="0"/>
                <w:color w:val="auto"/>
                <w:kern w:val="0"/>
                <w:sz w:val="20"/>
                <w:szCs w:val="20"/>
                <w:lang w:val="en-US" w:eastAsia="zh-CN"/>
              </w:rPr>
            </w:pPr>
          </w:p>
        </w:tc>
        <w:tc>
          <w:tcPr>
            <w:tcW w:w="2179" w:type="pct"/>
            <w:vMerge w:val="restar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《医疗保障基金使用监督管理条例》第三十九条  定点医药机构有下列情形之一的，由医疗保障行政部门责令改正，并可以约谈有关负责人；拒不改正的，处1万元以上5万元以下的罚款；违反其他法律、行政法规的，由有关主管部门依法处理：</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（一）未建立医疗保障基金使用内部管理制度，或者没有专门机构或者人员负责医疗保障基金使用管理工作；</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（二）未按照规定保管财务账目、会计凭证、处方、病历、治疗检查记录、费用明细、药品和医用耗材出入库记录等资料；</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（三）未按照规定通过医疗保障信息系统传送医疗保障基金使用有关数据；</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（四）未按照规定向医疗保障行政部门报告医疗保障基金使用监督管理所需信息；</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（五）未按照规定向社会公开医药费用、费用结构等信息；</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（六）除急诊、抢救等特殊情形外，未经参保人员或者其近亲属、监护人同意提供医疗保障基金支付范围以外的医药服务；</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（七）拒绝医疗保障等行政部门监督检查或者提供虚假情况。</w:t>
            </w:r>
          </w:p>
        </w:tc>
        <w:tc>
          <w:tcPr>
            <w:tcW w:w="284" w:type="pct"/>
            <w:vMerge w:val="restart"/>
            <w:vAlign w:val="center"/>
          </w:tcPr>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重点</w:t>
            </w:r>
          </w:p>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检查</w:t>
            </w:r>
          </w:p>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事项</w:t>
            </w:r>
          </w:p>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29"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val="0"/>
                <w:bCs w:val="0"/>
                <w:color w:val="auto"/>
                <w:kern w:val="0"/>
                <w:sz w:val="20"/>
                <w:szCs w:val="20"/>
              </w:rPr>
            </w:pPr>
          </w:p>
        </w:tc>
        <w:tc>
          <w:tcPr>
            <w:tcW w:w="344" w:type="pct"/>
            <w:vMerge w:val="continue"/>
            <w:vAlign w:val="center"/>
          </w:tcPr>
          <w:p>
            <w:pPr>
              <w:keepNext w:val="0"/>
              <w:keepLines w:val="0"/>
              <w:widowControl/>
              <w:suppressLineNumbers w:val="0"/>
              <w:adjustRightInd w:val="0"/>
              <w:snapToGrid w:val="0"/>
              <w:spacing w:before="0" w:beforeAutospacing="0" w:after="0" w:afterAutospacing="0"/>
              <w:ind w:left="0" w:right="0"/>
              <w:rPr>
                <w:rFonts w:hint="default" w:ascii="Times New Roman" w:hAnsi="Times New Roman" w:eastAsia="仿宋_GB2312" w:cs="Times New Roman"/>
                <w:b w:val="0"/>
                <w:bCs w:val="0"/>
                <w:color w:val="auto"/>
                <w:kern w:val="0"/>
                <w:sz w:val="20"/>
                <w:szCs w:val="20"/>
              </w:rPr>
            </w:pPr>
          </w:p>
        </w:tc>
        <w:tc>
          <w:tcPr>
            <w:tcW w:w="497"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2.2是否按规定传送有关数据</w:t>
            </w:r>
          </w:p>
        </w:tc>
        <w:tc>
          <w:tcPr>
            <w:tcW w:w="1465" w:type="pct"/>
            <w:vMerge w:val="continue"/>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p>
        </w:tc>
        <w:tc>
          <w:tcPr>
            <w:tcW w:w="2179" w:type="pct"/>
            <w:vMerge w:val="continue"/>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p>
        </w:tc>
        <w:tc>
          <w:tcPr>
            <w:tcW w:w="284" w:type="pct"/>
            <w:vMerge w:val="continue"/>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292" w:hRule="atLeast"/>
          <w:jc w:val="center"/>
        </w:trPr>
        <w:tc>
          <w:tcPr>
            <w:tcW w:w="229"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val="0"/>
                <w:bCs w:val="0"/>
                <w:color w:val="auto"/>
                <w:kern w:val="0"/>
                <w:sz w:val="20"/>
                <w:szCs w:val="20"/>
              </w:rPr>
            </w:pPr>
          </w:p>
        </w:tc>
        <w:tc>
          <w:tcPr>
            <w:tcW w:w="344" w:type="pct"/>
            <w:vMerge w:val="continue"/>
            <w:vAlign w:val="center"/>
          </w:tcPr>
          <w:p>
            <w:pPr>
              <w:keepNext w:val="0"/>
              <w:keepLines w:val="0"/>
              <w:widowControl/>
              <w:suppressLineNumbers w:val="0"/>
              <w:adjustRightInd w:val="0"/>
              <w:snapToGrid w:val="0"/>
              <w:spacing w:before="0" w:beforeAutospacing="0" w:after="0" w:afterAutospacing="0"/>
              <w:ind w:left="0" w:right="0"/>
              <w:rPr>
                <w:rFonts w:hint="default" w:ascii="Times New Roman" w:hAnsi="Times New Roman" w:eastAsia="仿宋_GB2312" w:cs="Times New Roman"/>
                <w:b w:val="0"/>
                <w:bCs w:val="0"/>
                <w:color w:val="auto"/>
                <w:kern w:val="0"/>
                <w:sz w:val="20"/>
                <w:szCs w:val="20"/>
              </w:rPr>
            </w:pPr>
          </w:p>
        </w:tc>
        <w:tc>
          <w:tcPr>
            <w:tcW w:w="497"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2.3是否按规定报送监督管理所需信息</w:t>
            </w:r>
          </w:p>
        </w:tc>
        <w:tc>
          <w:tcPr>
            <w:tcW w:w="1465" w:type="pct"/>
            <w:vMerge w:val="continue"/>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p>
        </w:tc>
        <w:tc>
          <w:tcPr>
            <w:tcW w:w="2179" w:type="pct"/>
            <w:vMerge w:val="continue"/>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p>
        </w:tc>
        <w:tc>
          <w:tcPr>
            <w:tcW w:w="284" w:type="pct"/>
            <w:vMerge w:val="continue"/>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959" w:hRule="atLeast"/>
          <w:jc w:val="center"/>
        </w:trPr>
        <w:tc>
          <w:tcPr>
            <w:tcW w:w="229"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val="0"/>
                <w:bCs w:val="0"/>
                <w:color w:val="auto"/>
                <w:kern w:val="0"/>
                <w:sz w:val="20"/>
                <w:szCs w:val="20"/>
              </w:rPr>
            </w:pPr>
          </w:p>
        </w:tc>
        <w:tc>
          <w:tcPr>
            <w:tcW w:w="344" w:type="pct"/>
            <w:vMerge w:val="continue"/>
            <w:vAlign w:val="center"/>
          </w:tcPr>
          <w:p>
            <w:pPr>
              <w:keepNext w:val="0"/>
              <w:keepLines w:val="0"/>
              <w:widowControl/>
              <w:suppressLineNumbers w:val="0"/>
              <w:adjustRightInd w:val="0"/>
              <w:snapToGrid w:val="0"/>
              <w:spacing w:before="0" w:beforeAutospacing="0" w:after="0" w:afterAutospacing="0"/>
              <w:ind w:left="0" w:right="0"/>
              <w:rPr>
                <w:rFonts w:hint="default" w:ascii="Times New Roman" w:hAnsi="Times New Roman" w:eastAsia="仿宋_GB2312" w:cs="Times New Roman"/>
                <w:b w:val="0"/>
                <w:bCs w:val="0"/>
                <w:color w:val="auto"/>
                <w:kern w:val="0"/>
                <w:sz w:val="20"/>
                <w:szCs w:val="20"/>
              </w:rPr>
            </w:pPr>
          </w:p>
        </w:tc>
        <w:tc>
          <w:tcPr>
            <w:tcW w:w="497"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2.4按规定向社会公开相关信息</w:t>
            </w:r>
          </w:p>
        </w:tc>
        <w:tc>
          <w:tcPr>
            <w:tcW w:w="1465"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《医疗保障基金使用监督管理条例》第十六条  定点医药机构应当按照规定保管财务账目、会计凭证、处方、病历、治疗检查记录、费用明细、药品和医用耗材出入库记录等资料，及时通过医疗保障信息系统全面准确传送医疗保障基金使用有关数据，向医疗保障行政部门报告医疗保障基金使用监督管理所需信息，向社会公开医药费用、费用结构等信息，接受社会监督。</w:t>
            </w:r>
          </w:p>
        </w:tc>
        <w:tc>
          <w:tcPr>
            <w:tcW w:w="2179"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《医疗保障基金使用监督管理条例》第三十九条  定点医药机构有下列情形之一的，由医疗保障行政部门责令改正，并可以约谈有关负责人；拒不改正的，处1万元以上5万元以下的罚款；违反其他法律、行政法规的，由有关主管部门依法处理：</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……（五）未按照规定向社会公开医药费用、费用结构等信息；</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（六）除急诊、抢救等特殊情形外，未经参保人员或者其近亲属、监护人同意提供医疗保障基金支付范围以外的医药服务；</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cs="Times New Roman"/>
                <w:b w:val="0"/>
                <w:bCs w:val="0"/>
                <w:color w:val="auto"/>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（七）拒绝医疗保障等行政部门监督检查或者提供虚假情况。</w:t>
            </w:r>
          </w:p>
        </w:tc>
        <w:tc>
          <w:tcPr>
            <w:tcW w:w="284" w:type="pct"/>
            <w:vAlign w:val="center"/>
          </w:tcPr>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一般</w:t>
            </w:r>
          </w:p>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检查</w:t>
            </w:r>
          </w:p>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862" w:hRule="atLeast"/>
          <w:jc w:val="center"/>
        </w:trPr>
        <w:tc>
          <w:tcPr>
            <w:tcW w:w="229"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color w:val="auto"/>
                <w:kern w:val="0"/>
                <w:sz w:val="20"/>
                <w:szCs w:val="20"/>
                <w:lang w:eastAsia="zh-CN"/>
              </w:rPr>
            </w:pPr>
            <w:r>
              <w:rPr>
                <w:rFonts w:hint="default" w:ascii="Times New Roman" w:hAnsi="Times New Roman" w:eastAsia="仿宋_GB2312" w:cs="Times New Roman"/>
                <w:b w:val="0"/>
                <w:bCs w:val="0"/>
                <w:color w:val="auto"/>
                <w:kern w:val="0"/>
                <w:sz w:val="20"/>
                <w:szCs w:val="20"/>
                <w:lang w:val="en-US" w:eastAsia="zh-CN"/>
              </w:rPr>
              <w:t>3</w:t>
            </w:r>
          </w:p>
        </w:tc>
        <w:tc>
          <w:tcPr>
            <w:tcW w:w="344"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社会保险核查</w:t>
            </w:r>
          </w:p>
        </w:tc>
        <w:tc>
          <w:tcPr>
            <w:tcW w:w="497"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定点医疗机构履行服务协议、执行费用结算项目和标准情况</w:t>
            </w:r>
          </w:p>
        </w:tc>
        <w:tc>
          <w:tcPr>
            <w:tcW w:w="1465"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《社会保险经办条例》第四十二条　社会保险经办机构应当核查下列事项：</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（一）社会保险登记和待遇享受等情况；</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（二）社会保险服务机构履行服务协议、执行费用结算项目和标准情况；　</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 xml:space="preserve">（三）法律、法规规定的其他事项。  </w:t>
            </w:r>
          </w:p>
        </w:tc>
        <w:tc>
          <w:tcPr>
            <w:tcW w:w="2179"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1.《社会保险经办条例》第四十三条  社会保险经办机构发现社会保险服务机构违反服务协议的，可以督促其履行服务协议，按照服务协议约定暂停或者不予拨付费用、追回违规费用、中止相关责任人员或者所在部门涉及社会保险基金使用的社会保险服务，直至解除服务协议；社会保险服务机构及其相关责任人员有权进行陈述、申辩。</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2.《社会保险经办条例》第四十四条　社会保险经办机构发现用人单位、个人、社会保险服务机构违反社会保险法律、法规、规章的，应当责令改正。对拒不改正或者依法应当由人力资源社会保障行政部门、医疗保障行政部门处理的，及时移交人力资源社会保障行政部门、医疗保障行政部门处理。</w:t>
            </w:r>
          </w:p>
        </w:tc>
        <w:tc>
          <w:tcPr>
            <w:tcW w:w="284" w:type="pct"/>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一般</w:t>
            </w:r>
          </w:p>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检查</w:t>
            </w:r>
          </w:p>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846" w:hRule="atLeast"/>
          <w:jc w:val="center"/>
        </w:trPr>
        <w:tc>
          <w:tcPr>
            <w:tcW w:w="229" w:type="pct"/>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b w:val="0"/>
                <w:bCs w:val="0"/>
                <w:color w:val="auto"/>
                <w:kern w:val="0"/>
                <w:sz w:val="20"/>
                <w:szCs w:val="20"/>
                <w:lang w:val="en-US" w:eastAsia="zh-CN" w:bidi="ar-SA"/>
              </w:rPr>
            </w:pPr>
            <w:r>
              <w:rPr>
                <w:rFonts w:hint="default" w:ascii="Times New Roman" w:hAnsi="Times New Roman" w:eastAsia="仿宋_GB2312" w:cs="Times New Roman"/>
                <w:b w:val="0"/>
                <w:bCs w:val="0"/>
                <w:color w:val="auto"/>
                <w:kern w:val="0"/>
                <w:sz w:val="20"/>
                <w:szCs w:val="20"/>
                <w:lang w:val="en-US" w:eastAsia="zh-CN" w:bidi="ar-SA"/>
              </w:rPr>
              <w:t>4</w:t>
            </w:r>
          </w:p>
        </w:tc>
        <w:tc>
          <w:tcPr>
            <w:tcW w:w="344"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定点医疗机构提供医疗保障基金支付范围以外的医药服务的征得同意情况</w:t>
            </w:r>
          </w:p>
        </w:tc>
        <w:tc>
          <w:tcPr>
            <w:tcW w:w="497"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提供医疗保障基金支付范围以外的医药服务是否取得参保人员或者其近亲属、监护人同意</w:t>
            </w:r>
          </w:p>
        </w:tc>
        <w:tc>
          <w:tcPr>
            <w:tcW w:w="1465"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《医疗保障基金使用监督管理条例》第十五条第二款  定点医药机构应当确保医疗保障基金支付的费用符合规定的支付范围；除急诊、抢救等特殊情形外，提供医疗保障基金支付范围以外的医药服务的，应当经参保人员或者其近亲属、监护人同意。</w:t>
            </w:r>
          </w:p>
        </w:tc>
        <w:tc>
          <w:tcPr>
            <w:tcW w:w="2179"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《医疗保障基金使用监督管理条例》第三十九条  定点医药机构有下列情形之一的，由医疗保障行政部门责令改正，并可以约谈有关负责人；拒不改正的，处1万元以上5万元以下的罚款；违反其他法律、行政法规的，由有关主管部门依法处理：</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（一）未建立医疗保障基金使用内部管理制度，或者没有专门机构或者人员负责医疗保障基金使用管理工作；</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（二）未按照规定保管财务账目、会计凭证、处方、病历、治疗检查记录、费用明细、药品和医用耗材出入库记录等资料；</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（三）未按照规定通过医疗保障信息系统传送医疗保障基金使用有关数据；</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（四）未按照规定向医疗保障行政部门报告医疗保障基金使用监督管理所需信息；</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（五）未按照规定向社会公开医药费用、费用结构等信息；</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（六）除急诊、抢救等特殊情形外，未经参保人员或者其近亲属、监护人同意提供医疗保障基金支付范围以外的医药服务；</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（七）拒绝医疗保障等行政部门监督检查或者提供虚假情况。</w:t>
            </w:r>
          </w:p>
        </w:tc>
        <w:tc>
          <w:tcPr>
            <w:tcW w:w="28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一般</w:t>
            </w:r>
          </w:p>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检查</w:t>
            </w:r>
          </w:p>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275" w:hRule="atLeast"/>
          <w:jc w:val="center"/>
        </w:trPr>
        <w:tc>
          <w:tcPr>
            <w:tcW w:w="229" w:type="pct"/>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color w:val="auto"/>
                <w:kern w:val="0"/>
                <w:sz w:val="21"/>
                <w:szCs w:val="21"/>
                <w:lang w:val="en" w:eastAsia="zh-CN"/>
              </w:rPr>
            </w:pPr>
            <w:r>
              <w:rPr>
                <w:rFonts w:hint="default" w:ascii="Times New Roman" w:hAnsi="Times New Roman" w:eastAsia="仿宋_GB2312" w:cs="Times New Roman"/>
                <w:b w:val="0"/>
                <w:bCs w:val="0"/>
                <w:color w:val="auto"/>
                <w:kern w:val="0"/>
                <w:sz w:val="21"/>
                <w:szCs w:val="21"/>
                <w:lang w:val="en" w:eastAsia="zh-CN"/>
              </w:rPr>
              <w:t>5</w:t>
            </w:r>
          </w:p>
        </w:tc>
        <w:tc>
          <w:tcPr>
            <w:tcW w:w="344" w:type="pct"/>
            <w:vMerge w:val="restart"/>
            <w:vAlign w:val="center"/>
          </w:tcPr>
          <w:p>
            <w:pPr>
              <w:keepNext w:val="0"/>
              <w:keepLines w:val="0"/>
              <w:widowControl/>
              <w:suppressLineNumbers w:val="0"/>
              <w:adjustRightInd w:val="0"/>
              <w:snapToGrid w:val="0"/>
              <w:spacing w:before="0" w:beforeAutospacing="0" w:after="0" w:afterAutospacing="0"/>
              <w:ind w:left="0" w:right="0"/>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定点医疗机构医疗保障基金使用情况</w:t>
            </w:r>
          </w:p>
        </w:tc>
        <w:tc>
          <w:tcPr>
            <w:tcW w:w="497"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5.1是否依法提供医药服务，使医疗保障基金支付的费用符合规定的支付范围</w:t>
            </w:r>
          </w:p>
        </w:tc>
        <w:tc>
          <w:tcPr>
            <w:tcW w:w="1465"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1.《医疗保障基金使用监督管理条例》第十五条  定点医药机构及其工作人员应当执行实名就医和购药管理规定，核验参保人员医疗保障凭证，按照诊疗规范提供合理、必要的医药服务，向参保人员如实出具费用单据和相关资料，不得分解住院、挂床住院，不得违反诊疗规范过度诊疗、过度检查、分解处方、超量开药、重复开药，不得重复收费、超标准收费、分解项目收费，不得串换药品、医用耗材、诊疗项目和服务设施，不得诱导、协助他人冒名或者虚假就医、购药。</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定点医药机构应当确保医疗保障基金支付的费用符合规定的支付范围；除急诊、抢救等特殊情形外，提供医疗保障基金支付范围以外的医药服务的，应当经参保人员或者其近亲属、监护人同意。</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 w:val="21"/>
                <w:szCs w:val="21"/>
                <w:lang w:val="en-US" w:eastAsia="zh-CN"/>
              </w:rPr>
              <w:t>2.《医疗保障基金使用监督管理条例》第十六条  定点医</w:t>
            </w:r>
            <w:r>
              <w:rPr>
                <w:rFonts w:hint="default" w:ascii="Times New Roman" w:hAnsi="Times New Roman" w:eastAsia="仿宋_GB2312" w:cs="Times New Roman"/>
                <w:b w:val="0"/>
                <w:bCs w:val="0"/>
                <w:color w:val="auto"/>
                <w:kern w:val="0"/>
                <w:sz w:val="21"/>
                <w:szCs w:val="21"/>
                <w:lang w:val="en-US" w:eastAsia="zh-CN" w:bidi="ar-SA"/>
              </w:rPr>
              <w:t>药机构应当按照规定保管财务账目、会计凭证、处方、病历、治疗检查记录、费用明细、药品和医用耗材出入库记录等资料，及时通过医疗保障信息系统全面准确传送医疗保障基金使用有关数据，向医疗保障行政部门报告医疗保障基金使用监督管理所需信息，向社会公开医药费用、费用结构等信息，接受社会监督。</w:t>
            </w:r>
          </w:p>
        </w:tc>
        <w:tc>
          <w:tcPr>
            <w:tcW w:w="2179"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《医疗保障基金使用监督管理条例》第三十八条  定点医药机构有下列情形之一的，由医疗保障行政部门责令改正，并可以约谈有关负责人；造成医疗保障基金损失的，责令退回，处造成损失金额1倍以上2倍以下的罚款；拒不改正或者造成严重后果的，责令定点医药机构暂停相关责任部门6个月以上1年以下涉及医疗保障基金使用的医药服务；违反其他法律、行政法规的，由有关主管部门依法处理：</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（一）分解住院、挂床住院；</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（二）违反诊疗规范过度诊疗、过度检查、分解处方、超量开药、重复开药或者提供其他不必要的医药服务；</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（三）重复收费、超标准收费、分解项目收费；</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（四）串换药品、医用耗材、诊疗项目和服务设施；</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（五）为参保人员利用其享受医疗保障待遇的机会转卖药品，接受返还现金、实物或者获得其他非法利益提供便利；</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（六）将不属于医疗保障基金支付范围的医药费用纳入医疗保障基金结算；</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（七）造成医疗保障基金损失的其他违法行为。</w:t>
            </w:r>
          </w:p>
        </w:tc>
        <w:tc>
          <w:tcPr>
            <w:tcW w:w="284" w:type="pct"/>
            <w:vAlign w:val="center"/>
          </w:tcPr>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重点</w:t>
            </w:r>
          </w:p>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检查</w:t>
            </w:r>
          </w:p>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087" w:hRule="atLeast"/>
          <w:jc w:val="center"/>
        </w:trPr>
        <w:tc>
          <w:tcPr>
            <w:tcW w:w="229"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color w:val="auto"/>
                <w:kern w:val="0"/>
                <w:sz w:val="18"/>
                <w:szCs w:val="18"/>
                <w:lang w:eastAsia="zh-CN"/>
              </w:rPr>
            </w:pPr>
          </w:p>
        </w:tc>
        <w:tc>
          <w:tcPr>
            <w:tcW w:w="344" w:type="pct"/>
            <w:vMerge w:val="continue"/>
            <w:vAlign w:val="center"/>
          </w:tcPr>
          <w:p>
            <w:pPr>
              <w:keepNext w:val="0"/>
              <w:keepLines w:val="0"/>
              <w:widowControl/>
              <w:suppressLineNumbers w:val="0"/>
              <w:adjustRightInd w:val="0"/>
              <w:snapToGrid w:val="0"/>
              <w:spacing w:before="0" w:beforeAutospacing="0" w:after="0" w:afterAutospacing="0"/>
              <w:ind w:left="0" w:right="0"/>
              <w:rPr>
                <w:rFonts w:hint="default" w:ascii="Times New Roman" w:hAnsi="Times New Roman" w:eastAsia="仿宋_GB2312" w:cs="Times New Roman"/>
                <w:b w:val="0"/>
                <w:bCs w:val="0"/>
                <w:color w:val="auto"/>
                <w:sz w:val="18"/>
                <w:szCs w:val="18"/>
                <w:lang w:val="en-US" w:eastAsia="zh-CN"/>
              </w:rPr>
            </w:pPr>
          </w:p>
        </w:tc>
        <w:tc>
          <w:tcPr>
            <w:tcW w:w="497"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 w:eastAsia="zh-CN"/>
              </w:rPr>
              <w:t>5.2</w:t>
            </w:r>
            <w:r>
              <w:rPr>
                <w:rFonts w:hint="default" w:ascii="Times New Roman" w:hAnsi="Times New Roman" w:eastAsia="仿宋_GB2312" w:cs="Times New Roman"/>
                <w:b w:val="0"/>
                <w:bCs w:val="0"/>
                <w:color w:val="auto"/>
                <w:kern w:val="0"/>
                <w:sz w:val="21"/>
                <w:szCs w:val="21"/>
                <w:lang w:val="en-US" w:eastAsia="zh-CN"/>
              </w:rPr>
              <w:t>是否存在骗取医疗保障基金的行为</w:t>
            </w:r>
          </w:p>
        </w:tc>
        <w:tc>
          <w:tcPr>
            <w:tcW w:w="1465"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《医疗保障基金使用监督管理条例》第二十条  医疗保障经办机构、定点医药机构等单位及其工作人员和参保人员等人员不得通过伪造、变造、隐匿、涂改、销毁医学文书、医学证明、会计凭证、电子信息等有关资料，或者虚构医药服务项目等方式，骗取医疗保障基金。</w:t>
            </w:r>
          </w:p>
        </w:tc>
        <w:tc>
          <w:tcPr>
            <w:tcW w:w="2179"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cs="Times New Roman"/>
                <w:b w:val="0"/>
                <w:bCs w:val="0"/>
                <w:color w:val="auto"/>
                <w:sz w:val="21"/>
                <w:szCs w:val="21"/>
                <w:lang w:val="en-US" w:eastAsia="zh-CN"/>
              </w:rPr>
              <w:t>《</w:t>
            </w:r>
            <w:r>
              <w:rPr>
                <w:rFonts w:hint="default" w:ascii="Times New Roman" w:hAnsi="Times New Roman" w:eastAsia="仿宋_GB2312" w:cs="Times New Roman"/>
                <w:b w:val="0"/>
                <w:bCs w:val="0"/>
                <w:color w:val="auto"/>
                <w:kern w:val="0"/>
                <w:sz w:val="21"/>
                <w:szCs w:val="21"/>
                <w:lang w:val="en-US" w:eastAsia="zh-CN" w:bidi="ar-SA"/>
              </w:rPr>
              <w:t>医疗保障基金使用监督管理条例》第四十条  定点医药机构通过下列方式骗取医疗保障基金支出的，由医疗保障行政部门责令退回，处骗取金额2倍以上5倍以下的罚款；责令定点医药机构暂停相关责任部门6个月以上1年以下涉及医疗保障基金使用的医药服务，直至由医疗保障经办机构解除服务协议；有执业资格的，由有关主管部门依法吊销执业资格：</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 w:val="21"/>
                <w:szCs w:val="21"/>
                <w:lang w:val="en-US" w:eastAsia="zh-CN" w:bidi="ar-SA"/>
              </w:rPr>
              <w:t>（一）诱导、协助他人冒名或者虚假就医、购药，提供虚假证明材料，或者串通他人虚开费用单据；</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 w:val="21"/>
                <w:szCs w:val="21"/>
                <w:lang w:val="en-US" w:eastAsia="zh-CN" w:bidi="ar-SA"/>
              </w:rPr>
              <w:t>（二）伪造、变造、隐匿、涂改、销毁医学文书、医学证明、会计凭证、电子信息等有关资料；</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 w:val="21"/>
                <w:szCs w:val="21"/>
                <w:lang w:val="en-US" w:eastAsia="zh-CN" w:bidi="ar-SA"/>
              </w:rPr>
              <w:t>（三）虚构医药服务项目；</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 w:val="21"/>
                <w:szCs w:val="21"/>
                <w:lang w:val="en-US" w:eastAsia="zh-CN" w:bidi="ar-SA"/>
              </w:rPr>
              <w:t>（四）其他骗取医疗保障基金支出的行为。</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cs="Times New Roman"/>
                <w:b w:val="0"/>
                <w:bCs w:val="0"/>
                <w:color w:val="auto"/>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bidi="ar-SA"/>
              </w:rPr>
              <w:t>定点医药机构以骗取医疗保障基金为目的，实施了本条例第三十八条规定行为之一，造成医疗保障基金损失的，按照本条规定处理。</w:t>
            </w:r>
          </w:p>
        </w:tc>
        <w:tc>
          <w:tcPr>
            <w:tcW w:w="284" w:type="pct"/>
            <w:vAlign w:val="center"/>
          </w:tcPr>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一般</w:t>
            </w:r>
          </w:p>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检查</w:t>
            </w:r>
          </w:p>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593" w:hRule="atLeast"/>
          <w:jc w:val="center"/>
        </w:trPr>
        <w:tc>
          <w:tcPr>
            <w:tcW w:w="229"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color w:val="auto"/>
                <w:kern w:val="0"/>
                <w:sz w:val="18"/>
                <w:szCs w:val="18"/>
                <w:lang w:val="en" w:eastAsia="zh-CN"/>
              </w:rPr>
            </w:pPr>
            <w:r>
              <w:rPr>
                <w:rFonts w:hint="default" w:ascii="Times New Roman" w:hAnsi="Times New Roman" w:eastAsia="仿宋_GB2312" w:cs="Times New Roman"/>
                <w:b w:val="0"/>
                <w:bCs w:val="0"/>
                <w:color w:val="auto"/>
                <w:kern w:val="0"/>
                <w:sz w:val="18"/>
                <w:szCs w:val="18"/>
                <w:lang w:val="en" w:eastAsia="zh-CN"/>
              </w:rPr>
              <w:t>6</w:t>
            </w:r>
          </w:p>
        </w:tc>
        <w:tc>
          <w:tcPr>
            <w:tcW w:w="344" w:type="pct"/>
            <w:vAlign w:val="center"/>
          </w:tcPr>
          <w:p>
            <w:pPr>
              <w:keepNext w:val="0"/>
              <w:keepLines w:val="0"/>
              <w:widowControl/>
              <w:suppressLineNumbers w:val="0"/>
              <w:suppressAutoHyphens/>
              <w:bidi w:val="0"/>
              <w:adjustRightInd w:val="0"/>
              <w:snapToGrid w:val="0"/>
              <w:spacing w:before="0" w:beforeAutospacing="0" w:after="0" w:afterAutospacing="0"/>
              <w:ind w:left="0" w:leftChars="0" w:right="0" w:rightChars="0"/>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kern w:val="0"/>
                <w:sz w:val="18"/>
                <w:szCs w:val="18"/>
                <w:lang w:val="en" w:eastAsia="zh-CN"/>
              </w:rPr>
              <w:t>医疗机构</w:t>
            </w:r>
            <w:r>
              <w:rPr>
                <w:rFonts w:hint="default" w:ascii="Times New Roman" w:hAnsi="Times New Roman" w:eastAsia="仿宋_GB2312" w:cs="Times New Roman"/>
                <w:b w:val="0"/>
                <w:bCs w:val="0"/>
                <w:color w:val="auto"/>
                <w:kern w:val="0"/>
                <w:sz w:val="18"/>
                <w:szCs w:val="18"/>
                <w:lang w:val="en-US" w:eastAsia="zh-CN"/>
              </w:rPr>
              <w:t>药品、医用耗材</w:t>
            </w:r>
            <w:r>
              <w:rPr>
                <w:rFonts w:hint="default" w:ascii="Times New Roman" w:hAnsi="Times New Roman" w:eastAsia="仿宋_GB2312" w:cs="Times New Roman"/>
                <w:b w:val="0"/>
                <w:bCs w:val="0"/>
                <w:color w:val="auto"/>
                <w:kern w:val="0"/>
                <w:sz w:val="18"/>
                <w:szCs w:val="18"/>
                <w:lang w:val="en" w:eastAsia="zh-CN"/>
              </w:rPr>
              <w:t>价格监测和成本调查</w:t>
            </w:r>
          </w:p>
        </w:tc>
        <w:tc>
          <w:tcPr>
            <w:tcW w:w="497" w:type="pct"/>
            <w:vAlign w:val="center"/>
          </w:tcPr>
          <w:p>
            <w:pPr>
              <w:keepNext w:val="0"/>
              <w:keepLines w:val="0"/>
              <w:widowControl/>
              <w:suppressLineNumbers w:val="0"/>
              <w:suppressAutoHyphens/>
              <w:bidi w:val="0"/>
              <w:adjustRightInd w:val="0"/>
              <w:snapToGrid w:val="0"/>
              <w:spacing w:before="0" w:beforeAutospacing="0" w:after="0" w:afterAutospacing="0"/>
              <w:ind w:left="0" w:leftChars="0" w:right="0" w:rightChars="0"/>
              <w:rPr>
                <w:rFonts w:hint="default" w:ascii="Times New Roman" w:hAnsi="Times New Roman" w:eastAsia="仿宋_GB2312" w:cs="Times New Roman"/>
                <w:b w:val="0"/>
                <w:bCs w:val="0"/>
                <w:color w:val="auto"/>
                <w:kern w:val="0"/>
                <w:sz w:val="18"/>
                <w:szCs w:val="18"/>
                <w:lang w:val="en" w:eastAsia="zh-CN" w:bidi="ar-SA"/>
              </w:rPr>
            </w:pPr>
            <w:r>
              <w:rPr>
                <w:rFonts w:hint="default" w:ascii="Times New Roman" w:hAnsi="Times New Roman" w:eastAsia="仿宋_GB2312" w:cs="Times New Roman"/>
                <w:b w:val="0"/>
                <w:bCs w:val="0"/>
                <w:color w:val="auto"/>
                <w:kern w:val="0"/>
                <w:sz w:val="18"/>
                <w:szCs w:val="18"/>
                <w:lang w:val="en" w:eastAsia="zh-CN"/>
              </w:rPr>
              <w:t>对医疗机构</w:t>
            </w:r>
            <w:r>
              <w:rPr>
                <w:rFonts w:hint="default" w:ascii="Times New Roman" w:hAnsi="Times New Roman" w:eastAsia="仿宋_GB2312" w:cs="Times New Roman"/>
                <w:b w:val="0"/>
                <w:bCs w:val="0"/>
                <w:color w:val="auto"/>
                <w:kern w:val="0"/>
                <w:sz w:val="18"/>
                <w:szCs w:val="18"/>
                <w:lang w:val="en-US" w:eastAsia="zh-CN"/>
              </w:rPr>
              <w:t>药品、医用耗材进行</w:t>
            </w:r>
            <w:r>
              <w:rPr>
                <w:rFonts w:hint="default" w:ascii="Times New Roman" w:hAnsi="Times New Roman" w:eastAsia="仿宋_GB2312" w:cs="Times New Roman"/>
                <w:b w:val="0"/>
                <w:bCs w:val="0"/>
                <w:color w:val="auto"/>
                <w:kern w:val="0"/>
                <w:sz w:val="18"/>
                <w:szCs w:val="18"/>
                <w:lang w:val="en" w:eastAsia="zh-CN"/>
              </w:rPr>
              <w:t>价格监测和成本调查</w:t>
            </w:r>
          </w:p>
        </w:tc>
        <w:tc>
          <w:tcPr>
            <w:tcW w:w="1465"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18"/>
                <w:szCs w:val="18"/>
                <w:lang w:val="en-US" w:eastAsia="zh-CN"/>
              </w:rPr>
            </w:pPr>
            <w:r>
              <w:rPr>
                <w:rFonts w:hint="default" w:ascii="Times New Roman" w:hAnsi="Times New Roman" w:eastAsia="仿宋_GB2312" w:cs="Times New Roman"/>
                <w:b w:val="0"/>
                <w:bCs w:val="0"/>
                <w:color w:val="auto"/>
                <w:kern w:val="0"/>
                <w:sz w:val="18"/>
                <w:szCs w:val="18"/>
                <w:lang w:val="en-US" w:eastAsia="zh-CN"/>
              </w:rPr>
              <w:t>1.《中华人民共和国药品管理法》第八十四条　国家完善药品采购管理制度，对药品价格进行监测，开展成本价格调查，加强药品价格监督检查，依法查处价格垄断、哄抬价格等药品价格违法行为，维护药品价格秩序。</w:t>
            </w:r>
          </w:p>
          <w:p>
            <w:pPr>
              <w:keepNext w:val="0"/>
              <w:keepLines w:val="0"/>
              <w:suppressLineNumbers w:val="0"/>
              <w:suppressAutoHyphens/>
              <w:bidi w:val="0"/>
              <w:spacing w:before="0" w:beforeAutospacing="0" w:after="0" w:afterAutospacing="0"/>
              <w:ind w:left="0" w:right="0"/>
              <w:rPr>
                <w:rFonts w:hint="default" w:ascii="Times New Roman" w:hAnsi="Times New Roman" w:eastAsia="仿宋_GB2312" w:cs="Times New Roman"/>
                <w:b w:val="0"/>
                <w:bCs w:val="0"/>
                <w:color w:val="auto"/>
                <w:kern w:val="0"/>
                <w:sz w:val="18"/>
                <w:szCs w:val="18"/>
                <w:lang w:val="en-US" w:eastAsia="zh-CN"/>
              </w:rPr>
            </w:pPr>
            <w:r>
              <w:rPr>
                <w:rFonts w:hint="default" w:ascii="Times New Roman" w:hAnsi="Times New Roman" w:eastAsia="仿宋_GB2312" w:cs="Times New Roman"/>
                <w:b w:val="0"/>
                <w:bCs w:val="0"/>
                <w:color w:val="auto"/>
                <w:kern w:val="0"/>
                <w:sz w:val="18"/>
                <w:szCs w:val="18"/>
                <w:lang w:val="en" w:eastAsia="zh-CN"/>
              </w:rPr>
              <w:t>2.</w:t>
            </w:r>
            <w:r>
              <w:rPr>
                <w:rFonts w:hint="default" w:ascii="Times New Roman" w:hAnsi="Times New Roman" w:eastAsia="仿宋_GB2312" w:cs="Times New Roman"/>
                <w:b w:val="0"/>
                <w:bCs w:val="0"/>
                <w:color w:val="auto"/>
                <w:kern w:val="0"/>
                <w:sz w:val="18"/>
                <w:szCs w:val="18"/>
                <w:lang w:val="en-US" w:eastAsia="zh-CN"/>
              </w:rPr>
              <w:t>《中华人民共和国药品管理法》第八十六条　药品上市许可持有人、药品生产企业、药品经营企业和医疗机构应当依法向药品价格主管部门提供其药品的实际购销价格和购销数量等资料。</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18"/>
                <w:szCs w:val="18"/>
                <w:lang w:val="en-US" w:eastAsia="zh-CN"/>
              </w:rPr>
            </w:pPr>
            <w:r>
              <w:rPr>
                <w:rFonts w:hint="default" w:ascii="Times New Roman" w:hAnsi="Times New Roman" w:eastAsia="仿宋_GB2312" w:cs="Times New Roman"/>
                <w:b w:val="0"/>
                <w:bCs w:val="0"/>
                <w:color w:val="auto"/>
                <w:kern w:val="0"/>
                <w:sz w:val="18"/>
                <w:szCs w:val="18"/>
                <w:lang w:val="en" w:eastAsia="zh-CN"/>
              </w:rPr>
              <w:t>3</w:t>
            </w:r>
            <w:r>
              <w:rPr>
                <w:rFonts w:hint="default" w:ascii="Times New Roman" w:hAnsi="Times New Roman" w:eastAsia="仿宋_GB2312" w:cs="Times New Roman"/>
                <w:b w:val="0"/>
                <w:bCs w:val="0"/>
                <w:color w:val="auto"/>
                <w:kern w:val="0"/>
                <w:sz w:val="18"/>
                <w:szCs w:val="18"/>
                <w:lang w:val="en-US" w:eastAsia="zh-CN"/>
              </w:rPr>
              <w:t>.《中华人民共和国价格法》第二十八条　为适应价格调控和管理的需要，政府价格主管部门应当建立价格监测制度，对重要商品、服务价格的变动进行监测。</w:t>
            </w:r>
          </w:p>
          <w:p>
            <w:pPr>
              <w:keepNext w:val="0"/>
              <w:keepLines w:val="0"/>
              <w:suppressLineNumbers w:val="0"/>
              <w:suppressAutoHyphens/>
              <w:bidi w:val="0"/>
              <w:spacing w:before="0" w:beforeAutospacing="0" w:after="0" w:afterAutospacing="0"/>
              <w:ind w:left="0" w:leftChars="0" w:right="0" w:rightChars="0"/>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kern w:val="0"/>
                <w:sz w:val="18"/>
                <w:szCs w:val="18"/>
                <w:highlight w:val="none"/>
                <w:lang w:val="en" w:eastAsia="zh-CN"/>
              </w:rPr>
              <w:t>4.</w:t>
            </w:r>
            <w:r>
              <w:rPr>
                <w:rFonts w:hint="default" w:ascii="Times New Roman" w:hAnsi="Times New Roman" w:eastAsia="仿宋_GB2312" w:cs="Times New Roman"/>
                <w:b w:val="0"/>
                <w:bCs w:val="0"/>
                <w:color w:val="auto"/>
                <w:kern w:val="0"/>
                <w:sz w:val="18"/>
                <w:szCs w:val="18"/>
                <w:highlight w:val="none"/>
                <w:lang w:val="en-US" w:eastAsia="zh-CN"/>
              </w:rPr>
              <w:t>《中共遂宁市委办公室 遂宁市人民政府办公室关于印发〈遂宁市医疗保障局职能配置、内设机构和人员编制规定〉的通知》第三条第五款　组织拟订药品、医疗服务项目、医疗服务设施收费等政策措施。建立医保支付医药服务价格合理确定和动态调整机制，推动建立市场主导的社会医药服务价格形成机制，建立价格信息监测和信息发布制度。</w:t>
            </w:r>
          </w:p>
        </w:tc>
        <w:tc>
          <w:tcPr>
            <w:tcW w:w="2179"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18"/>
                <w:szCs w:val="18"/>
                <w:lang w:val="en-US" w:eastAsia="zh-CN"/>
              </w:rPr>
            </w:pPr>
            <w:r>
              <w:rPr>
                <w:rFonts w:hint="default" w:ascii="Times New Roman" w:hAnsi="Times New Roman" w:eastAsia="仿宋_GB2312" w:cs="Times New Roman"/>
                <w:b w:val="0"/>
                <w:bCs w:val="0"/>
                <w:color w:val="auto"/>
                <w:kern w:val="0"/>
                <w:sz w:val="18"/>
                <w:szCs w:val="18"/>
                <w:lang w:val="en" w:eastAsia="zh-CN"/>
              </w:rPr>
              <w:t>1.</w:t>
            </w:r>
            <w:r>
              <w:rPr>
                <w:rFonts w:hint="default" w:ascii="Times New Roman" w:hAnsi="Times New Roman" w:eastAsia="仿宋_GB2312" w:cs="Times New Roman"/>
                <w:b w:val="0"/>
                <w:bCs w:val="0"/>
                <w:color w:val="auto"/>
                <w:kern w:val="0"/>
                <w:sz w:val="18"/>
                <w:szCs w:val="18"/>
                <w:lang w:val="en-US" w:eastAsia="zh-CN"/>
              </w:rPr>
              <w:t>《中华人民共和国价格法》第三十九条  经营者不执行政府指导价、政府定价以及法定的价格干预措施、紧急措施的，责令改正，没收违法所得，可以并处违法所得五倍以下的罚款；没有违法所得的，可以处以罚款；情节严重的，责令停业整顿。</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18"/>
                <w:szCs w:val="18"/>
                <w:lang w:val="en" w:eastAsia="zh-CN"/>
              </w:rPr>
            </w:pPr>
            <w:r>
              <w:rPr>
                <w:rFonts w:hint="default" w:ascii="Times New Roman" w:hAnsi="Times New Roman" w:eastAsia="仿宋_GB2312" w:cs="Times New Roman"/>
                <w:b w:val="0"/>
                <w:bCs w:val="0"/>
                <w:color w:val="auto"/>
                <w:kern w:val="0"/>
                <w:sz w:val="18"/>
                <w:szCs w:val="18"/>
                <w:lang w:val="en" w:eastAsia="zh-CN"/>
              </w:rPr>
              <w:t>2.</w:t>
            </w:r>
            <w:r>
              <w:rPr>
                <w:rFonts w:hint="default" w:ascii="Times New Roman" w:hAnsi="Times New Roman" w:eastAsia="仿宋_GB2312" w:cs="Times New Roman"/>
                <w:b w:val="0"/>
                <w:bCs w:val="0"/>
                <w:color w:val="auto"/>
                <w:kern w:val="0"/>
                <w:sz w:val="18"/>
                <w:szCs w:val="18"/>
                <w:lang w:val="en-US" w:eastAsia="zh-CN"/>
              </w:rPr>
              <w:t>《中华人民共和国价格法》第四十四条  拒绝按照规定提供监督检查所需资料或者提供虚假资料的，责令改正，予以警告；逾期不改正的，可以处以罚款。</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18"/>
                <w:szCs w:val="18"/>
                <w:lang w:val="en-US" w:eastAsia="zh-CN"/>
              </w:rPr>
            </w:pPr>
            <w:r>
              <w:rPr>
                <w:rFonts w:hint="default" w:ascii="Times New Roman" w:hAnsi="Times New Roman" w:eastAsia="仿宋_GB2312" w:cs="Times New Roman"/>
                <w:b w:val="0"/>
                <w:bCs w:val="0"/>
                <w:color w:val="auto"/>
                <w:kern w:val="0"/>
                <w:sz w:val="18"/>
                <w:szCs w:val="18"/>
                <w:lang w:val="en" w:eastAsia="zh-CN"/>
              </w:rPr>
              <w:t>3.《</w:t>
            </w:r>
            <w:r>
              <w:rPr>
                <w:rFonts w:hint="default" w:ascii="Times New Roman" w:hAnsi="Times New Roman" w:eastAsia="仿宋_GB2312" w:cs="Times New Roman"/>
                <w:b w:val="0"/>
                <w:bCs w:val="0"/>
                <w:color w:val="auto"/>
                <w:kern w:val="0"/>
                <w:sz w:val="18"/>
                <w:szCs w:val="18"/>
                <w:lang w:val="en-US" w:eastAsia="zh-CN"/>
              </w:rPr>
              <w:t>中华人民共和国基本医疗卫生与健康促进法》第一百零三条　违反本法规定，参加药品采购投标的投标人以低于成本的报价竞标，或者以欺诈、串通投标、滥用市场支配地位等方式竞标的，由县级以上人民政府医疗保障主管部门责令改正，没收违法所得；中标的，中标无效，处中标项目金额千分之五以上千分之十以下的罚款，对法定代表人、主要负责人、直接负责的主管人员和其他责任人员处对单位罚款数额百分之五以上百分之十以下的罚款；情节严重的，取消其二年至五年内参加药品采购投标的资格并予以公告。</w:t>
            </w:r>
          </w:p>
          <w:p>
            <w:pPr>
              <w:pStyle w:val="2"/>
              <w:keepNext w:val="0"/>
              <w:keepLines w:val="0"/>
              <w:suppressLineNumbers w:val="0"/>
              <w:spacing w:beforeAutospacing="0" w:afterAutospacing="0"/>
              <w:ind w:left="0" w:right="0"/>
              <w:rPr>
                <w:rFonts w:hint="default" w:ascii="Times New Roman" w:hAnsi="Times New Roman" w:eastAsia="仿宋_GB2312" w:cs="Times New Roman"/>
                <w:b w:val="0"/>
                <w:bCs w:val="0"/>
                <w:color w:val="auto"/>
                <w:sz w:val="18"/>
                <w:szCs w:val="18"/>
                <w:lang w:val="en" w:eastAsia="zh-CN"/>
              </w:rPr>
            </w:pPr>
            <w:r>
              <w:rPr>
                <w:rFonts w:hint="default" w:ascii="Times New Roman" w:hAnsi="Times New Roman" w:eastAsia="仿宋_GB2312" w:cs="Times New Roman"/>
                <w:b w:val="0"/>
                <w:bCs w:val="0"/>
                <w:color w:val="auto"/>
                <w:sz w:val="18"/>
                <w:szCs w:val="18"/>
                <w:lang w:val="en" w:eastAsia="zh-CN"/>
              </w:rPr>
              <w:t>注：对价格违法行为的执法权由行政部门按各自职能行使。</w:t>
            </w:r>
          </w:p>
          <w:p>
            <w:pPr>
              <w:keepNext w:val="0"/>
              <w:keepLines w:val="0"/>
              <w:suppressLineNumbers w:val="0"/>
              <w:suppressAutoHyphens/>
              <w:bidi w:val="0"/>
              <w:spacing w:before="0" w:beforeAutospacing="0" w:after="0" w:afterAutospacing="0" w:line="240" w:lineRule="auto"/>
              <w:ind w:left="0" w:leftChars="0" w:right="0" w:rightChars="0"/>
              <w:jc w:val="both"/>
              <w:rPr>
                <w:rFonts w:hint="default" w:ascii="Times New Roman" w:hAnsi="Times New Roman" w:cs="Times New Roman"/>
                <w:b w:val="0"/>
                <w:bCs w:val="0"/>
                <w:color w:val="auto"/>
                <w:sz w:val="18"/>
                <w:szCs w:val="18"/>
                <w:lang w:val="en-US" w:eastAsia="zh-CN"/>
              </w:rPr>
            </w:pPr>
          </w:p>
        </w:tc>
        <w:tc>
          <w:tcPr>
            <w:tcW w:w="284" w:type="pct"/>
            <w:vAlign w:val="center"/>
          </w:tcPr>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18"/>
                <w:szCs w:val="18"/>
                <w:lang w:val="en-US" w:eastAsia="zh-CN"/>
              </w:rPr>
            </w:pPr>
            <w:r>
              <w:rPr>
                <w:rFonts w:hint="default" w:ascii="Times New Roman" w:hAnsi="Times New Roman" w:eastAsia="仿宋_GB2312" w:cs="Times New Roman"/>
                <w:b w:val="0"/>
                <w:bCs w:val="0"/>
                <w:color w:val="auto"/>
                <w:kern w:val="0"/>
                <w:sz w:val="18"/>
                <w:szCs w:val="18"/>
                <w:lang w:val="en-US" w:eastAsia="zh-CN"/>
              </w:rPr>
              <w:t>一般</w:t>
            </w:r>
          </w:p>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18"/>
                <w:szCs w:val="18"/>
                <w:lang w:val="en-US" w:eastAsia="zh-CN"/>
              </w:rPr>
            </w:pPr>
            <w:r>
              <w:rPr>
                <w:rFonts w:hint="default" w:ascii="Times New Roman" w:hAnsi="Times New Roman" w:eastAsia="仿宋_GB2312" w:cs="Times New Roman"/>
                <w:b w:val="0"/>
                <w:bCs w:val="0"/>
                <w:color w:val="auto"/>
                <w:kern w:val="0"/>
                <w:sz w:val="18"/>
                <w:szCs w:val="18"/>
                <w:lang w:val="en-US" w:eastAsia="zh-CN"/>
              </w:rPr>
              <w:t>检查</w:t>
            </w:r>
          </w:p>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18"/>
                <w:szCs w:val="18"/>
                <w:lang w:val="en-US" w:eastAsia="zh-CN"/>
              </w:rPr>
            </w:pPr>
            <w:r>
              <w:rPr>
                <w:rFonts w:hint="default" w:ascii="Times New Roman" w:hAnsi="Times New Roman" w:eastAsia="仿宋_GB2312" w:cs="Times New Roman"/>
                <w:b w:val="0"/>
                <w:bCs w:val="0"/>
                <w:color w:val="auto"/>
                <w:kern w:val="0"/>
                <w:sz w:val="18"/>
                <w:szCs w:val="18"/>
                <w:lang w:val="en-US" w:eastAsia="zh-CN"/>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805" w:hRule="atLeast"/>
          <w:jc w:val="center"/>
        </w:trPr>
        <w:tc>
          <w:tcPr>
            <w:tcW w:w="229"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color w:val="auto"/>
                <w:kern w:val="0"/>
                <w:sz w:val="18"/>
                <w:szCs w:val="18"/>
                <w:lang w:val="en" w:eastAsia="zh-CN"/>
              </w:rPr>
            </w:pPr>
            <w:r>
              <w:rPr>
                <w:rFonts w:hint="default" w:ascii="Times New Roman" w:hAnsi="Times New Roman" w:eastAsia="仿宋_GB2312" w:cs="Times New Roman"/>
                <w:b w:val="0"/>
                <w:bCs w:val="0"/>
                <w:color w:val="auto"/>
                <w:kern w:val="0"/>
                <w:sz w:val="18"/>
                <w:szCs w:val="18"/>
                <w:lang w:val="en" w:eastAsia="zh-CN"/>
              </w:rPr>
              <w:t>7</w:t>
            </w:r>
          </w:p>
        </w:tc>
        <w:tc>
          <w:tcPr>
            <w:tcW w:w="344" w:type="pct"/>
            <w:vAlign w:val="center"/>
          </w:tcPr>
          <w:p>
            <w:pPr>
              <w:keepNext w:val="0"/>
              <w:keepLines w:val="0"/>
              <w:widowControl/>
              <w:suppressLineNumbers w:val="0"/>
              <w:suppressAutoHyphens/>
              <w:bidi w:val="0"/>
              <w:adjustRightInd w:val="0"/>
              <w:snapToGrid w:val="0"/>
              <w:spacing w:before="0" w:beforeAutospacing="0" w:after="0" w:afterAutospacing="0"/>
              <w:ind w:left="0" w:leftChars="0" w:right="0" w:rightChars="0"/>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kern w:val="0"/>
                <w:sz w:val="18"/>
                <w:szCs w:val="18"/>
                <w:lang w:val="en-US" w:eastAsia="zh-CN"/>
              </w:rPr>
              <w:t>对公立医疗机构药品和高值医用耗材集中采购行为合规性的监督检查</w:t>
            </w:r>
          </w:p>
        </w:tc>
        <w:tc>
          <w:tcPr>
            <w:tcW w:w="497" w:type="pct"/>
            <w:vAlign w:val="center"/>
          </w:tcPr>
          <w:p>
            <w:pPr>
              <w:keepNext w:val="0"/>
              <w:keepLines w:val="0"/>
              <w:widowControl/>
              <w:suppressLineNumbers w:val="0"/>
              <w:suppressAutoHyphens/>
              <w:bidi w:val="0"/>
              <w:adjustRightInd w:val="0"/>
              <w:snapToGrid w:val="0"/>
              <w:spacing w:before="0" w:beforeAutospacing="0" w:after="0" w:afterAutospacing="0"/>
              <w:ind w:left="0" w:leftChars="0" w:right="0" w:rightChars="0"/>
              <w:rPr>
                <w:rFonts w:hint="default" w:ascii="Times New Roman" w:hAnsi="Times New Roman" w:eastAsia="仿宋_GB2312" w:cs="Times New Roman"/>
                <w:b w:val="0"/>
                <w:bCs w:val="0"/>
                <w:color w:val="auto"/>
                <w:kern w:val="0"/>
                <w:sz w:val="18"/>
                <w:szCs w:val="18"/>
                <w:lang w:val="en" w:eastAsia="zh-CN" w:bidi="ar-SA"/>
              </w:rPr>
            </w:pPr>
            <w:r>
              <w:rPr>
                <w:rFonts w:hint="default" w:ascii="Times New Roman" w:hAnsi="Times New Roman" w:eastAsia="仿宋_GB2312" w:cs="Times New Roman"/>
                <w:b w:val="0"/>
                <w:bCs w:val="0"/>
                <w:color w:val="auto"/>
                <w:kern w:val="0"/>
                <w:sz w:val="18"/>
                <w:szCs w:val="18"/>
                <w:lang w:val="en-US" w:eastAsia="zh-CN"/>
              </w:rPr>
              <w:t>是否存在药品和高值医用耗材集中采购违法行为</w:t>
            </w:r>
          </w:p>
        </w:tc>
        <w:tc>
          <w:tcPr>
            <w:tcW w:w="1465"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18"/>
                <w:szCs w:val="18"/>
                <w:lang w:val="en-US" w:eastAsia="zh-CN"/>
              </w:rPr>
            </w:pPr>
            <w:r>
              <w:rPr>
                <w:rFonts w:hint="default" w:ascii="Times New Roman" w:hAnsi="Times New Roman" w:eastAsia="仿宋_GB2312" w:cs="Times New Roman"/>
                <w:b w:val="0"/>
                <w:bCs w:val="0"/>
                <w:color w:val="auto"/>
                <w:kern w:val="0"/>
                <w:sz w:val="18"/>
                <w:szCs w:val="18"/>
                <w:lang w:val="en" w:eastAsia="zh-CN"/>
              </w:rPr>
              <w:t>《</w:t>
            </w:r>
            <w:r>
              <w:rPr>
                <w:rFonts w:hint="default" w:ascii="Times New Roman" w:hAnsi="Times New Roman" w:eastAsia="仿宋_GB2312" w:cs="Times New Roman"/>
                <w:b w:val="0"/>
                <w:bCs w:val="0"/>
                <w:color w:val="auto"/>
                <w:kern w:val="0"/>
                <w:sz w:val="18"/>
                <w:szCs w:val="18"/>
                <w:lang w:val="en-US" w:eastAsia="zh-CN"/>
              </w:rPr>
              <w:t>中华人民共和国基本医疗卫生与健康促进法》第六十二条　国家建立健全药品价格监测体系，开展成本价格调查，加强药品价格监督检查，依法查处价格垄断、价格欺诈、不正当竞争等违法行为，维护药品价格秩序。</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kern w:val="0"/>
                <w:sz w:val="18"/>
                <w:szCs w:val="18"/>
                <w:lang w:val="en-US" w:eastAsia="zh-CN"/>
              </w:rPr>
              <w:t>国家加强药品分类采购管理和指导。参加药品采购投标的投标人不得以低于成本的报价竞标，不得以欺诈、串通投标、滥用市场支配地位等方式竞标。</w:t>
            </w:r>
          </w:p>
        </w:tc>
        <w:tc>
          <w:tcPr>
            <w:tcW w:w="2179"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kern w:val="0"/>
                <w:sz w:val="18"/>
                <w:szCs w:val="18"/>
                <w:lang w:val="en" w:eastAsia="zh-CN"/>
              </w:rPr>
              <w:t>《</w:t>
            </w:r>
            <w:r>
              <w:rPr>
                <w:rFonts w:hint="default" w:ascii="Times New Roman" w:hAnsi="Times New Roman" w:eastAsia="仿宋_GB2312" w:cs="Times New Roman"/>
                <w:b w:val="0"/>
                <w:bCs w:val="0"/>
                <w:color w:val="auto"/>
                <w:kern w:val="0"/>
                <w:sz w:val="18"/>
                <w:szCs w:val="18"/>
                <w:lang w:val="en-US" w:eastAsia="zh-CN"/>
              </w:rPr>
              <w:t>中华人民共和国基本医疗卫生与健康促进法》第一百零三条　违反本法规定，参加药品采购投标的投标人以低于成本的报价竞标，或者以欺诈、串通投标、滥用市场支配地位等方式竞标的，由县级以上人民政府医疗保障主管部门责令改正，没收违法所得；中标的，中标无效，处中标项目金额千分之五以上千分之十以下的罚款，对法定代表人、主要负责人、直接负责的主管人员和其他责任人员处对单位罚款数额百分之五以上百分之十以下的罚款；情节严重的，取消其二年至五年内参加药品采购投标的资格并予以公告。</w:t>
            </w:r>
          </w:p>
        </w:tc>
        <w:tc>
          <w:tcPr>
            <w:tcW w:w="284" w:type="pct"/>
            <w:vAlign w:val="center"/>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color w:val="auto"/>
                <w:kern w:val="2"/>
                <w:sz w:val="18"/>
                <w:szCs w:val="18"/>
                <w:lang w:val="en-US" w:eastAsia="zh-CN" w:bidi="ar-SA"/>
              </w:rPr>
            </w:pPr>
            <w:r>
              <w:rPr>
                <w:rFonts w:hint="default" w:ascii="Times New Roman" w:hAnsi="Times New Roman" w:eastAsia="仿宋_GB2312" w:cs="Times New Roman"/>
                <w:b w:val="0"/>
                <w:bCs w:val="0"/>
                <w:color w:val="auto"/>
                <w:kern w:val="2"/>
                <w:sz w:val="18"/>
                <w:szCs w:val="18"/>
                <w:lang w:val="en-US" w:eastAsia="zh-CN" w:bidi="ar-SA"/>
              </w:rPr>
              <w:t>一般</w:t>
            </w:r>
          </w:p>
          <w:p>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color w:val="auto"/>
                <w:kern w:val="2"/>
                <w:sz w:val="18"/>
                <w:szCs w:val="18"/>
                <w:lang w:val="en-US" w:eastAsia="zh-CN" w:bidi="ar-SA"/>
              </w:rPr>
            </w:pPr>
            <w:r>
              <w:rPr>
                <w:rFonts w:hint="default" w:ascii="Times New Roman" w:hAnsi="Times New Roman" w:eastAsia="仿宋_GB2312" w:cs="Times New Roman"/>
                <w:b w:val="0"/>
                <w:bCs w:val="0"/>
                <w:color w:val="auto"/>
                <w:kern w:val="2"/>
                <w:sz w:val="18"/>
                <w:szCs w:val="18"/>
                <w:lang w:val="en-US" w:eastAsia="zh-CN" w:bidi="ar-SA"/>
              </w:rPr>
              <w:t>检查</w:t>
            </w:r>
          </w:p>
          <w:p>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color w:val="auto"/>
                <w:kern w:val="2"/>
                <w:sz w:val="18"/>
                <w:szCs w:val="18"/>
                <w:lang w:val="en-US" w:eastAsia="zh-CN" w:bidi="ar-SA"/>
              </w:rPr>
            </w:pPr>
            <w:r>
              <w:rPr>
                <w:rFonts w:hint="default" w:ascii="Times New Roman" w:hAnsi="Times New Roman" w:eastAsia="仿宋_GB2312" w:cs="Times New Roman"/>
                <w:b w:val="0"/>
                <w:bCs w:val="0"/>
                <w:color w:val="auto"/>
                <w:kern w:val="2"/>
                <w:sz w:val="18"/>
                <w:szCs w:val="18"/>
                <w:lang w:val="en-US" w:eastAsia="zh-CN" w:bidi="ar-SA"/>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8053" w:hRule="atLeast"/>
          <w:jc w:val="center"/>
        </w:trPr>
        <w:tc>
          <w:tcPr>
            <w:tcW w:w="229" w:type="pct"/>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b w:val="0"/>
                <w:bCs w:val="0"/>
                <w:color w:val="auto"/>
                <w:kern w:val="0"/>
                <w:sz w:val="20"/>
                <w:szCs w:val="20"/>
                <w:lang w:val="en" w:eastAsia="zh-CN" w:bidi="ar-SA"/>
              </w:rPr>
            </w:pPr>
            <w:r>
              <w:rPr>
                <w:rFonts w:hint="default" w:ascii="Times New Roman" w:hAnsi="Times New Roman" w:eastAsia="仿宋_GB2312" w:cs="Times New Roman"/>
                <w:b w:val="0"/>
                <w:bCs w:val="0"/>
                <w:color w:val="auto"/>
                <w:kern w:val="0"/>
                <w:sz w:val="20"/>
                <w:szCs w:val="20"/>
                <w:lang w:val="en" w:eastAsia="zh-CN" w:bidi="ar-SA"/>
              </w:rPr>
              <w:t>8</w:t>
            </w:r>
          </w:p>
        </w:tc>
        <w:tc>
          <w:tcPr>
            <w:tcW w:w="344" w:type="pct"/>
            <w:vAlign w:val="center"/>
          </w:tcPr>
          <w:p>
            <w:pPr>
              <w:keepNext w:val="0"/>
              <w:keepLines w:val="0"/>
              <w:widowControl/>
              <w:suppressLineNumbers w:val="0"/>
              <w:suppressAutoHyphens/>
              <w:bidi w:val="0"/>
              <w:adjustRightInd w:val="0"/>
              <w:snapToGrid w:val="0"/>
              <w:spacing w:before="0" w:beforeAutospacing="0" w:after="0" w:afterAutospacing="0"/>
              <w:ind w:left="0" w:leftChars="0" w:right="0" w:rightChars="0"/>
              <w:rPr>
                <w:rFonts w:hint="default" w:ascii="Times New Roman" w:hAnsi="Times New Roman" w:eastAsia="仿宋_GB2312" w:cs="Times New Roman"/>
                <w:b w:val="0"/>
                <w:bCs w:val="0"/>
                <w:color w:val="auto"/>
                <w:kern w:val="0"/>
                <w:sz w:val="20"/>
                <w:szCs w:val="20"/>
                <w:lang w:val="en-US" w:eastAsia="zh-CN" w:bidi="ar-SA"/>
              </w:rPr>
            </w:pPr>
            <w:r>
              <w:rPr>
                <w:rFonts w:hint="default" w:ascii="Times New Roman" w:hAnsi="Times New Roman" w:eastAsia="仿宋_GB2312" w:cs="Times New Roman"/>
                <w:b w:val="0"/>
                <w:bCs w:val="0"/>
                <w:color w:val="auto"/>
                <w:kern w:val="0"/>
                <w:sz w:val="20"/>
                <w:szCs w:val="20"/>
                <w:lang w:val="en-US" w:eastAsia="zh-CN"/>
              </w:rPr>
              <w:t>对医疗机构药品、医用耗材的实际购销价格和购销数量等的监督检查</w:t>
            </w:r>
          </w:p>
        </w:tc>
        <w:tc>
          <w:tcPr>
            <w:tcW w:w="497" w:type="pct"/>
            <w:vAlign w:val="center"/>
          </w:tcPr>
          <w:p>
            <w:pPr>
              <w:keepNext w:val="0"/>
              <w:keepLines w:val="0"/>
              <w:widowControl/>
              <w:suppressLineNumbers w:val="0"/>
              <w:suppressAutoHyphens/>
              <w:bidi w:val="0"/>
              <w:adjustRightInd w:val="0"/>
              <w:snapToGrid w:val="0"/>
              <w:spacing w:before="0" w:beforeAutospacing="0" w:after="0" w:afterAutospacing="0"/>
              <w:ind w:left="0" w:leftChars="0" w:right="0" w:rightChars="0"/>
              <w:rPr>
                <w:rFonts w:hint="default" w:ascii="Times New Roman" w:hAnsi="Times New Roman" w:eastAsia="仿宋_GB2312" w:cs="Times New Roman"/>
                <w:b w:val="0"/>
                <w:bCs w:val="0"/>
                <w:color w:val="auto"/>
                <w:kern w:val="0"/>
                <w:sz w:val="20"/>
                <w:szCs w:val="20"/>
                <w:lang w:val="en-US" w:eastAsia="zh-CN" w:bidi="ar-SA"/>
              </w:rPr>
            </w:pPr>
            <w:r>
              <w:rPr>
                <w:rFonts w:hint="default" w:ascii="Times New Roman" w:hAnsi="Times New Roman" w:eastAsia="仿宋_GB2312" w:cs="Times New Roman"/>
                <w:b w:val="0"/>
                <w:bCs w:val="0"/>
                <w:color w:val="auto"/>
                <w:kern w:val="0"/>
                <w:sz w:val="20"/>
                <w:szCs w:val="20"/>
                <w:lang w:val="en-US" w:eastAsia="zh-CN"/>
              </w:rPr>
              <w:t>药品、医用耗材的实际购销价格和购销数量等</w:t>
            </w:r>
          </w:p>
        </w:tc>
        <w:tc>
          <w:tcPr>
            <w:tcW w:w="1465" w:type="pct"/>
            <w:vAlign w:val="center"/>
          </w:tcPr>
          <w:p>
            <w:pPr>
              <w:keepNext w:val="0"/>
              <w:keepLines w:val="0"/>
              <w:suppressLineNumbers w:val="0"/>
              <w:suppressAutoHyphens/>
              <w:bidi w:val="0"/>
              <w:spacing w:before="0" w:beforeAutospacing="0" w:after="0" w:afterAutospacing="0"/>
              <w:ind w:left="0" w:right="0"/>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1.《中华人民共和国药品管理法》第八十六条　药品上市许可持有人、药品生产企业、药品经营企业和医疗机构应当依法向药品价格主管部门提供其药品的实际购销价格和购销数量等资料。</w:t>
            </w:r>
          </w:p>
          <w:p>
            <w:pPr>
              <w:keepNext w:val="0"/>
              <w:keepLines w:val="0"/>
              <w:suppressLineNumbers w:val="0"/>
              <w:suppressAutoHyphens/>
              <w:bidi w:val="0"/>
              <w:spacing w:before="0" w:beforeAutospacing="0" w:after="0" w:afterAutospacing="0"/>
              <w:ind w:left="0" w:right="0"/>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2.《医疗保障基金使用监督管理条例》第十六条　定点医药机构应当按照规定保管财务账目、会计凭证、处方、病历、治疗检查记录、费用明细、药品和医用耗材出入库记录等资料，及时通过医疗保障信息系统全面准确传送医疗保障基金使用有关数据，向医疗保障行政部门报告医疗保障基金使用监督管理所需信息，向社会公开医药费用、费用结构等信息，接受社会监督。</w:t>
            </w:r>
          </w:p>
          <w:p>
            <w:pPr>
              <w:keepNext w:val="0"/>
              <w:keepLines w:val="0"/>
              <w:suppressLineNumbers w:val="0"/>
              <w:suppressAutoHyphens/>
              <w:bidi w:val="0"/>
              <w:spacing w:before="0" w:beforeAutospacing="0" w:after="0" w:afterAutospacing="0"/>
              <w:ind w:left="0" w:leftChars="0" w:right="0" w:rightChars="0"/>
              <w:rPr>
                <w:rFonts w:hint="default" w:ascii="Times New Roman" w:hAnsi="Times New Roman" w:eastAsia="仿宋_GB2312" w:cs="Times New Roman"/>
                <w:b w:val="0"/>
                <w:bCs w:val="0"/>
                <w:color w:val="auto"/>
                <w:kern w:val="0"/>
                <w:sz w:val="20"/>
                <w:szCs w:val="20"/>
                <w:lang w:val="en-US" w:eastAsia="zh-CN" w:bidi="ar-SA"/>
              </w:rPr>
            </w:pPr>
            <w:r>
              <w:rPr>
                <w:rFonts w:hint="default" w:ascii="Times New Roman" w:hAnsi="Times New Roman" w:eastAsia="仿宋_GB2312" w:cs="Times New Roman"/>
                <w:b w:val="0"/>
                <w:bCs w:val="0"/>
                <w:color w:val="auto"/>
                <w:kern w:val="0"/>
                <w:sz w:val="20"/>
                <w:szCs w:val="20"/>
                <w:lang w:val="en-US" w:eastAsia="zh-CN"/>
              </w:rPr>
              <w:t>3.《中共遂宁市委办公室 遂宁市人民政府办公室关于印发〈遂宁市医疗保障局职能配置、内设机构和人员编制规定〉的通知》第三条第五款　组织拟订药品、医疗服务项目、医疗服务设施收费等政策措施。建立医保支付医药服务价格合理确定和动态调整机制，推动建立市场主导的社会医药服务价格形成机制，建立价格信息监测和信息发布制度。</w:t>
            </w:r>
          </w:p>
        </w:tc>
        <w:tc>
          <w:tcPr>
            <w:tcW w:w="2179" w:type="pct"/>
            <w:vAlign w:val="center"/>
          </w:tcPr>
          <w:p>
            <w:pPr>
              <w:keepNext w:val="0"/>
              <w:keepLines w:val="0"/>
              <w:suppressLineNumbers w:val="0"/>
              <w:suppressAutoHyphens/>
              <w:bidi w:val="0"/>
              <w:spacing w:before="0" w:beforeAutospacing="0" w:after="0" w:afterAutospacing="0"/>
              <w:ind w:left="0" w:right="0"/>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1.</w:t>
            </w:r>
            <w:r>
              <w:rPr>
                <w:rFonts w:hint="default" w:ascii="Times New Roman" w:hAnsi="Times New Roman" w:eastAsia="仿宋_GB2312" w:cs="Times New Roman"/>
                <w:b w:val="0"/>
                <w:bCs w:val="0"/>
                <w:color w:val="auto"/>
                <w:kern w:val="0"/>
                <w:sz w:val="20"/>
                <w:szCs w:val="20"/>
                <w:lang w:val="en-US" w:eastAsia="zh-CN"/>
              </w:rPr>
              <w:t>《医疗保障基金使用监督管理条例》第三十八条　定点医药机构有下列情形之一的，由医疗保障行政部门责令改正，并可以约谈有关负责人；造成医疗保障基金损失的，责令退回，处造成损失金额1倍以上2倍以下的罚款；拒不改正或者造成严重后果的，责令定点医药机构暂停相关责任部门6个月以上1年以下涉及医疗保障基金使用的医药服务；违反其他法律、行政法规的，由有关主管部门依法处理：</w:t>
            </w:r>
          </w:p>
          <w:p>
            <w:pPr>
              <w:keepNext w:val="0"/>
              <w:keepLines w:val="0"/>
              <w:suppressLineNumbers w:val="0"/>
              <w:suppressAutoHyphens/>
              <w:bidi w:val="0"/>
              <w:spacing w:before="0" w:beforeAutospacing="0" w:after="0" w:afterAutospacing="0"/>
              <w:ind w:left="0" w:right="0"/>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w:t>
            </w:r>
            <w:r>
              <w:rPr>
                <w:rFonts w:hint="default" w:ascii="Times New Roman" w:hAnsi="Times New Roman" w:eastAsia="仿宋_GB2312" w:cs="Times New Roman"/>
                <w:b w:val="0"/>
                <w:bCs w:val="0"/>
                <w:color w:val="auto"/>
                <w:kern w:val="0"/>
                <w:sz w:val="20"/>
                <w:szCs w:val="20"/>
                <w:lang w:val="en-US" w:eastAsia="zh-CN"/>
              </w:rPr>
              <w:t>（四）串换药品、医用耗材、诊疗项目和服务设施；</w:t>
            </w:r>
          </w:p>
          <w:p>
            <w:pPr>
              <w:keepNext w:val="0"/>
              <w:keepLines w:val="0"/>
              <w:suppressLineNumbers w:val="0"/>
              <w:suppressAutoHyphens/>
              <w:bidi w:val="0"/>
              <w:spacing w:before="0" w:beforeAutospacing="0" w:after="0" w:afterAutospacing="0"/>
              <w:ind w:left="0" w:right="0"/>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（五）为参保人员利用其享受医疗保障待遇的机会转卖药品，接受返还现金、实物或者获得其他非法利益提供便利；</w:t>
            </w:r>
          </w:p>
          <w:p>
            <w:pPr>
              <w:keepNext w:val="0"/>
              <w:keepLines w:val="0"/>
              <w:suppressLineNumbers w:val="0"/>
              <w:suppressAutoHyphens/>
              <w:bidi w:val="0"/>
              <w:spacing w:before="0" w:beforeAutospacing="0" w:after="0" w:afterAutospacing="0"/>
              <w:ind w:left="0" w:right="0"/>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（六）将不属于医疗保障基金支付范围的医药费用纳入医疗保障基金结算；</w:t>
            </w:r>
          </w:p>
          <w:p>
            <w:pPr>
              <w:keepNext w:val="0"/>
              <w:keepLines w:val="0"/>
              <w:suppressLineNumbers w:val="0"/>
              <w:suppressAutoHyphens/>
              <w:bidi w:val="0"/>
              <w:spacing w:before="0" w:beforeAutospacing="0" w:after="0" w:afterAutospacing="0"/>
              <w:ind w:left="0" w:right="0"/>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（七）造成医疗保障基金损失的其他违法行为。</w:t>
            </w:r>
          </w:p>
          <w:p>
            <w:pPr>
              <w:keepNext w:val="0"/>
              <w:keepLines w:val="0"/>
              <w:suppressLineNumbers w:val="0"/>
              <w:suppressAutoHyphens/>
              <w:bidi w:val="0"/>
              <w:spacing w:before="0" w:beforeAutospacing="0" w:after="0" w:afterAutospacing="0"/>
              <w:ind w:left="0" w:right="0"/>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2</w:t>
            </w:r>
            <w:r>
              <w:rPr>
                <w:rFonts w:hint="default" w:ascii="Times New Roman" w:hAnsi="Times New Roman" w:eastAsia="仿宋_GB2312" w:cs="Times New Roman"/>
                <w:b w:val="0"/>
                <w:bCs w:val="0"/>
                <w:color w:val="auto"/>
                <w:kern w:val="0"/>
                <w:sz w:val="20"/>
                <w:szCs w:val="20"/>
                <w:lang w:val="en" w:eastAsia="zh-CN"/>
              </w:rPr>
              <w:t>.</w:t>
            </w:r>
            <w:r>
              <w:rPr>
                <w:rFonts w:hint="default" w:ascii="Times New Roman" w:hAnsi="Times New Roman" w:eastAsia="仿宋_GB2312" w:cs="Times New Roman"/>
                <w:b w:val="0"/>
                <w:bCs w:val="0"/>
                <w:color w:val="auto"/>
                <w:kern w:val="0"/>
                <w:sz w:val="20"/>
                <w:szCs w:val="20"/>
                <w:lang w:val="en-US" w:eastAsia="zh-CN"/>
              </w:rPr>
              <w:t>《医疗保障基金使用监督管理条例》第三十九条　定点医药机构有下列情形之一的，由医疗保障行政部门责令改正，并可以约谈有关负责人；拒不改正的，处1万元以上5万元以下的罚款；违反其他法律、行政法规的，由有关主管部门依法处理：</w:t>
            </w:r>
          </w:p>
          <w:p>
            <w:pPr>
              <w:keepNext w:val="0"/>
              <w:keepLines w:val="0"/>
              <w:suppressLineNumbers w:val="0"/>
              <w:suppressAutoHyphens/>
              <w:bidi w:val="0"/>
              <w:spacing w:before="0" w:beforeAutospacing="0" w:after="0" w:afterAutospacing="0"/>
              <w:ind w:left="0" w:right="0"/>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（一）未建立医疗保障基金使用内部管理制度，或者没有专门机构或者人员负责医疗保障基金使用管理工作；</w:t>
            </w:r>
          </w:p>
          <w:p>
            <w:pPr>
              <w:keepNext w:val="0"/>
              <w:keepLines w:val="0"/>
              <w:suppressLineNumbers w:val="0"/>
              <w:suppressAutoHyphens/>
              <w:bidi w:val="0"/>
              <w:spacing w:before="0" w:beforeAutospacing="0" w:after="0" w:afterAutospacing="0"/>
              <w:ind w:left="0" w:right="0"/>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（二）未按照规定保管财务账目、会计凭证、处方、病历、治疗检查记录、费用明细、药品和医用耗材出入库记录等资料；</w:t>
            </w:r>
          </w:p>
          <w:p>
            <w:pPr>
              <w:keepNext w:val="0"/>
              <w:keepLines w:val="0"/>
              <w:suppressLineNumbers w:val="0"/>
              <w:suppressAutoHyphens/>
              <w:bidi w:val="0"/>
              <w:spacing w:before="0" w:beforeAutospacing="0" w:after="0" w:afterAutospacing="0"/>
              <w:ind w:left="0" w:right="0"/>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（三）未按照规定通过医疗保障信息系统传送医疗保障基金使用有关数据；</w:t>
            </w:r>
          </w:p>
          <w:p>
            <w:pPr>
              <w:keepNext w:val="0"/>
              <w:keepLines w:val="0"/>
              <w:suppressLineNumbers w:val="0"/>
              <w:suppressAutoHyphens/>
              <w:bidi w:val="0"/>
              <w:spacing w:before="0" w:beforeAutospacing="0" w:after="0" w:afterAutospacing="0"/>
              <w:ind w:left="0" w:right="0"/>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（四）未按照规定向医疗保障行政部门报告医疗保障基金使用监督管理所需信息；</w:t>
            </w:r>
          </w:p>
          <w:p>
            <w:pPr>
              <w:keepNext w:val="0"/>
              <w:keepLines w:val="0"/>
              <w:suppressLineNumbers w:val="0"/>
              <w:suppressAutoHyphens/>
              <w:bidi w:val="0"/>
              <w:spacing w:before="0" w:beforeAutospacing="0" w:after="0" w:afterAutospacing="0"/>
              <w:ind w:left="0" w:right="0"/>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（五）未按照规定向社会公开医药费用、费用结构等信息；</w:t>
            </w:r>
          </w:p>
          <w:p>
            <w:pPr>
              <w:keepNext w:val="0"/>
              <w:keepLines w:val="0"/>
              <w:suppressLineNumbers w:val="0"/>
              <w:suppressAutoHyphens/>
              <w:bidi w:val="0"/>
              <w:spacing w:before="0" w:beforeAutospacing="0" w:after="0" w:afterAutospacing="0"/>
              <w:ind w:left="0" w:right="0"/>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（六）除急诊、抢救等特殊情形外，未经参保人员或者其近亲属、监护人同意提供医疗保障基金支付范围以外的医药服务；</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bidi="ar-SA"/>
              </w:rPr>
            </w:pPr>
            <w:r>
              <w:rPr>
                <w:rFonts w:hint="default" w:ascii="Times New Roman" w:hAnsi="Times New Roman" w:eastAsia="仿宋_GB2312" w:cs="Times New Roman"/>
                <w:b w:val="0"/>
                <w:bCs w:val="0"/>
                <w:color w:val="auto"/>
                <w:kern w:val="0"/>
                <w:sz w:val="20"/>
                <w:szCs w:val="20"/>
                <w:lang w:val="en-US" w:eastAsia="zh-CN"/>
              </w:rPr>
              <w:t>（七）拒绝医疗保障等行政部门监督检查或者提供虚假情况。</w:t>
            </w:r>
          </w:p>
        </w:tc>
        <w:tc>
          <w:tcPr>
            <w:tcW w:w="284" w:type="pct"/>
            <w:vAlign w:val="center"/>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color w:val="auto"/>
                <w:kern w:val="2"/>
                <w:sz w:val="20"/>
                <w:szCs w:val="20"/>
                <w:lang w:val="en-US" w:eastAsia="zh-CN" w:bidi="ar-SA"/>
              </w:rPr>
            </w:pPr>
            <w:r>
              <w:rPr>
                <w:rFonts w:hint="default" w:ascii="Times New Roman" w:hAnsi="Times New Roman" w:eastAsia="仿宋_GB2312" w:cs="Times New Roman"/>
                <w:b w:val="0"/>
                <w:bCs w:val="0"/>
                <w:color w:val="auto"/>
                <w:kern w:val="2"/>
                <w:sz w:val="20"/>
                <w:szCs w:val="20"/>
                <w:lang w:val="en-US" w:eastAsia="zh-CN" w:bidi="ar-SA"/>
              </w:rPr>
              <w:t>一般</w:t>
            </w:r>
          </w:p>
          <w:p>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color w:val="auto"/>
                <w:kern w:val="2"/>
                <w:sz w:val="20"/>
                <w:szCs w:val="20"/>
                <w:lang w:val="en-US" w:eastAsia="zh-CN" w:bidi="ar-SA"/>
              </w:rPr>
            </w:pPr>
            <w:r>
              <w:rPr>
                <w:rFonts w:hint="default" w:ascii="Times New Roman" w:hAnsi="Times New Roman" w:eastAsia="仿宋_GB2312" w:cs="Times New Roman"/>
                <w:b w:val="0"/>
                <w:bCs w:val="0"/>
                <w:color w:val="auto"/>
                <w:kern w:val="2"/>
                <w:sz w:val="20"/>
                <w:szCs w:val="20"/>
                <w:lang w:val="en-US" w:eastAsia="zh-CN" w:bidi="ar-SA"/>
              </w:rPr>
              <w:t>检查</w:t>
            </w:r>
          </w:p>
          <w:p>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color w:val="auto"/>
                <w:kern w:val="2"/>
                <w:sz w:val="20"/>
                <w:szCs w:val="20"/>
                <w:lang w:val="en-US" w:eastAsia="zh-CN" w:bidi="ar-SA"/>
              </w:rPr>
            </w:pPr>
            <w:r>
              <w:rPr>
                <w:rFonts w:hint="default" w:ascii="Times New Roman" w:hAnsi="Times New Roman" w:eastAsia="仿宋_GB2312" w:cs="Times New Roman"/>
                <w:b w:val="0"/>
                <w:bCs w:val="0"/>
                <w:color w:val="auto"/>
                <w:kern w:val="2"/>
                <w:sz w:val="20"/>
                <w:szCs w:val="20"/>
                <w:lang w:val="en-US" w:eastAsia="zh-CN" w:bidi="ar-SA"/>
              </w:rPr>
              <w:t>事项</w:t>
            </w:r>
          </w:p>
        </w:tc>
      </w:tr>
    </w:tbl>
    <w:p>
      <w:pPr>
        <w:jc w:val="center"/>
        <w:rPr>
          <w:rFonts w:hint="default" w:ascii="Times New Roman" w:hAnsi="Times New Roman" w:eastAsia="方正小标宋简体" w:cs="Times New Roman"/>
          <w:b w:val="0"/>
          <w:bCs w:val="0"/>
          <w:color w:val="auto"/>
          <w:sz w:val="18"/>
          <w:szCs w:val="18"/>
        </w:rPr>
      </w:pPr>
      <w:r>
        <w:rPr>
          <w:rFonts w:hint="default" w:ascii="Times New Roman" w:hAnsi="Times New Roman" w:eastAsia="方正小标宋简体" w:cs="Times New Roman"/>
          <w:b w:val="0"/>
          <w:bCs w:val="0"/>
          <w:color w:val="auto"/>
          <w:sz w:val="18"/>
          <w:szCs w:val="18"/>
        </w:rPr>
        <w:br w:type="page"/>
      </w:r>
    </w:p>
    <w:p>
      <w:pPr>
        <w:pStyle w:val="3"/>
        <w:spacing w:line="240" w:lineRule="auto"/>
        <w:jc w:val="center"/>
        <w:rPr>
          <w:rFonts w:hint="default" w:ascii="Times New Roman" w:hAnsi="Times New Roman" w:eastAsia="方正小标宋简体" w:cs="Times New Roman"/>
          <w:b w:val="0"/>
          <w:bCs w:val="0"/>
          <w:color w:val="auto"/>
          <w:sz w:val="36"/>
          <w:szCs w:val="36"/>
        </w:rPr>
      </w:pPr>
      <w:bookmarkStart w:id="3" w:name="_Toc1738253319"/>
      <w:r>
        <w:rPr>
          <w:rFonts w:hint="default" w:ascii="Times New Roman" w:hAnsi="Times New Roman" w:eastAsia="方正小标宋简体" w:cs="Times New Roman"/>
          <w:b w:val="0"/>
          <w:bCs w:val="0"/>
          <w:color w:val="auto"/>
          <w:sz w:val="36"/>
          <w:szCs w:val="36"/>
          <w:lang w:val="en-US" w:eastAsia="zh-CN"/>
        </w:rPr>
        <w:t>三、零售药店</w:t>
      </w:r>
      <w:r>
        <w:rPr>
          <w:rFonts w:hint="default" w:ascii="Times New Roman" w:hAnsi="Times New Roman" w:eastAsia="方正小标宋简体" w:cs="Times New Roman"/>
          <w:b w:val="0"/>
          <w:bCs w:val="0"/>
          <w:color w:val="auto"/>
          <w:sz w:val="36"/>
          <w:szCs w:val="36"/>
        </w:rPr>
        <w:t>检查事项</w:t>
      </w:r>
      <w:bookmarkEnd w:id="3"/>
    </w:p>
    <w:tbl>
      <w:tblPr>
        <w:tblStyle w:val="16"/>
        <w:tblW w:w="50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737"/>
        <w:gridCol w:w="1263"/>
        <w:gridCol w:w="1234"/>
        <w:gridCol w:w="4815"/>
        <w:gridCol w:w="6841"/>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39" w:hRule="atLeast"/>
          <w:tblHeader/>
          <w:jc w:val="center"/>
        </w:trPr>
        <w:tc>
          <w:tcPr>
            <w:tcW w:w="232"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序号</w:t>
            </w:r>
          </w:p>
        </w:tc>
        <w:tc>
          <w:tcPr>
            <w:tcW w:w="397"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检查事项</w:t>
            </w:r>
          </w:p>
        </w:tc>
        <w:tc>
          <w:tcPr>
            <w:tcW w:w="38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检查内容</w:t>
            </w:r>
          </w:p>
        </w:tc>
        <w:tc>
          <w:tcPr>
            <w:tcW w:w="1514"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检查依据</w:t>
            </w:r>
          </w:p>
        </w:tc>
        <w:tc>
          <w:tcPr>
            <w:tcW w:w="2151"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法律责任</w:t>
            </w:r>
          </w:p>
        </w:tc>
        <w:tc>
          <w:tcPr>
            <w:tcW w:w="31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4"/>
                <w:szCs w:val="24"/>
                <w:lang w:val="en-US" w:eastAsia="zh-CN"/>
              </w:rPr>
            </w:pPr>
            <w:r>
              <w:rPr>
                <w:rFonts w:hint="default" w:ascii="Times New Roman" w:hAnsi="Times New Roman" w:eastAsia="黑体" w:cs="Times New Roman"/>
                <w:b w:val="0"/>
                <w:bCs w:val="0"/>
                <w:color w:val="auto"/>
                <w:kern w:val="0"/>
                <w:sz w:val="24"/>
                <w:szCs w:val="24"/>
                <w:lang w:val="en-US" w:eastAsia="zh-CN"/>
              </w:rPr>
              <w:t>事项</w:t>
            </w:r>
          </w:p>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4"/>
                <w:szCs w:val="24"/>
                <w:lang w:val="en-US" w:eastAsia="zh-CN"/>
              </w:rPr>
            </w:pPr>
            <w:r>
              <w:rPr>
                <w:rFonts w:hint="default" w:ascii="Times New Roman" w:hAnsi="Times New Roman" w:eastAsia="黑体" w:cs="Times New Roman"/>
                <w:b w:val="0"/>
                <w:bCs w:val="0"/>
                <w:color w:val="auto"/>
                <w:kern w:val="0"/>
                <w:sz w:val="24"/>
                <w:szCs w:val="24"/>
                <w:lang w:val="en-US" w:eastAsia="zh-CN"/>
              </w:rPr>
              <w:t>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83" w:hRule="atLeast"/>
          <w:jc w:val="center"/>
        </w:trPr>
        <w:tc>
          <w:tcPr>
            <w:tcW w:w="232"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rPr>
              <w:t>1</w:t>
            </w:r>
          </w:p>
        </w:tc>
        <w:tc>
          <w:tcPr>
            <w:tcW w:w="397" w:type="pct"/>
            <w:vMerge w:val="restart"/>
            <w:vAlign w:val="center"/>
          </w:tcPr>
          <w:p>
            <w:pPr>
              <w:keepNext w:val="0"/>
              <w:keepLines w:val="0"/>
              <w:widowControl/>
              <w:suppressLineNumbers w:val="0"/>
              <w:adjustRightInd w:val="0"/>
              <w:snapToGrid w:val="0"/>
              <w:spacing w:before="0" w:beforeAutospacing="0" w:after="0" w:afterAutospacing="0"/>
              <w:ind w:left="0" w:right="0"/>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lang w:val="en-US" w:eastAsia="zh-CN"/>
              </w:rPr>
              <w:t>定点零售药店医疗保障基金使用管理制度建立</w:t>
            </w:r>
            <w:r>
              <w:rPr>
                <w:rFonts w:hint="default" w:ascii="Times New Roman" w:hAnsi="Times New Roman" w:eastAsia="仿宋_GB2312" w:cs="Times New Roman"/>
                <w:b w:val="0"/>
                <w:bCs w:val="0"/>
                <w:color w:val="auto"/>
                <w:kern w:val="0"/>
                <w:sz w:val="21"/>
                <w:szCs w:val="21"/>
              </w:rPr>
              <w:t>情况</w:t>
            </w:r>
          </w:p>
        </w:tc>
        <w:tc>
          <w:tcPr>
            <w:tcW w:w="388"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1.</w:t>
            </w:r>
            <w:r>
              <w:rPr>
                <w:rFonts w:hint="default" w:ascii="Times New Roman" w:hAnsi="Times New Roman" w:eastAsia="仿宋_GB2312" w:cs="Times New Roman"/>
                <w:b w:val="0"/>
                <w:bCs w:val="0"/>
                <w:color w:val="auto"/>
                <w:kern w:val="0"/>
                <w:sz w:val="21"/>
                <w:szCs w:val="21"/>
                <w:lang w:val="en" w:eastAsia="zh-CN"/>
              </w:rPr>
              <w:t>1</w:t>
            </w:r>
            <w:r>
              <w:rPr>
                <w:rFonts w:hint="default" w:ascii="Times New Roman" w:hAnsi="Times New Roman" w:eastAsia="仿宋_GB2312" w:cs="Times New Roman"/>
                <w:b w:val="0"/>
                <w:bCs w:val="0"/>
                <w:color w:val="auto"/>
                <w:kern w:val="0"/>
                <w:sz w:val="21"/>
                <w:szCs w:val="21"/>
                <w:lang w:val="en-US" w:eastAsia="zh-CN"/>
              </w:rPr>
              <w:t>是否建立医疗保障基金使用内部管理制度</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p>
        </w:tc>
        <w:tc>
          <w:tcPr>
            <w:tcW w:w="1514" w:type="pct"/>
            <w:vMerge w:val="restar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《医疗保障基金使用监督管理条例》第十四条　定点医药机构应当建立医疗保障基金使用内部管理制度，由专门机构或者人员负责医疗保障基金使用管理工作，建立健全考核评价体系。</w:t>
            </w:r>
          </w:p>
        </w:tc>
        <w:tc>
          <w:tcPr>
            <w:tcW w:w="2151" w:type="pct"/>
            <w:vMerge w:val="restar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《医疗保障基金使用监督管理条例》第三十九条  定点医药机构有下列情形之一的，由医疗保障行政部门责令改正，并可以约谈有关负责人；拒不改正的，处1万元以上5万元以下的罚款；违反其他法律、行政法规的，由有关主管部门依法处理：</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（一）未建立医疗保障基金使用内部管理制度，或者没有专门机构或者人员负责医疗保障基金使用管理工作；</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（二）未按照规定保管财务账目、会计凭证、处方、病历、治疗检查记录、费用明细、药品和医用耗材出入库记录等资料；</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（三）未按照规定通过医疗保障信息系统传送医疗保障基金使用有关数据；</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（四）未按照规定向医疗保障行政部门报告医疗保障基金使用监督管理所需信息；</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（五）未按照规定向社会公开医药费用、费用结构等信息；</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（六）除急诊、抢救等特殊情形外，未经参保人员或者其近亲属、监护人同意提供医疗保障基金支付范围以外的医药服务；</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（七）拒绝医疗保障等行政部门监督检查或者提供虚假情况。</w:t>
            </w:r>
          </w:p>
        </w:tc>
        <w:tc>
          <w:tcPr>
            <w:tcW w:w="316" w:type="pct"/>
            <w:vMerge w:val="restart"/>
            <w:vAlign w:val="center"/>
          </w:tcPr>
          <w:p>
            <w:pPr>
              <w:pStyle w:val="29"/>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一般</w:t>
            </w:r>
          </w:p>
          <w:p>
            <w:pPr>
              <w:pStyle w:val="29"/>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检查</w:t>
            </w:r>
          </w:p>
          <w:p>
            <w:pPr>
              <w:pStyle w:val="29"/>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仿宋_GB2312"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873" w:hRule="atLeast"/>
          <w:jc w:val="center"/>
        </w:trPr>
        <w:tc>
          <w:tcPr>
            <w:tcW w:w="232" w:type="pct"/>
            <w:vMerge w:val="continue"/>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cs="Times New Roman"/>
                <w:b w:val="0"/>
                <w:bCs w:val="0"/>
                <w:color w:val="auto"/>
              </w:rPr>
            </w:pPr>
          </w:p>
        </w:tc>
        <w:tc>
          <w:tcPr>
            <w:tcW w:w="397" w:type="pct"/>
            <w:vMerge w:val="continue"/>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cs="Times New Roman"/>
                <w:b w:val="0"/>
                <w:bCs w:val="0"/>
                <w:color w:val="auto"/>
                <w:sz w:val="21"/>
                <w:szCs w:val="21"/>
              </w:rPr>
            </w:pPr>
          </w:p>
        </w:tc>
        <w:tc>
          <w:tcPr>
            <w:tcW w:w="388"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 w:eastAsia="zh-CN"/>
              </w:rPr>
              <w:t>1.2</w:t>
            </w:r>
            <w:r>
              <w:rPr>
                <w:rFonts w:hint="default" w:ascii="Times New Roman" w:hAnsi="Times New Roman" w:eastAsia="仿宋_GB2312" w:cs="Times New Roman"/>
                <w:b w:val="0"/>
                <w:bCs w:val="0"/>
                <w:color w:val="auto"/>
                <w:kern w:val="0"/>
                <w:sz w:val="21"/>
                <w:szCs w:val="21"/>
                <w:lang w:val="en-US" w:eastAsia="zh-CN"/>
              </w:rPr>
              <w:t>是否有专门机构或人员负责医疗保障基金使用管理工作</w:t>
            </w:r>
          </w:p>
        </w:tc>
        <w:tc>
          <w:tcPr>
            <w:tcW w:w="1514" w:type="pct"/>
            <w:vMerge w:val="continue"/>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18"/>
                <w:szCs w:val="18"/>
                <w:lang w:val="en-US" w:eastAsia="zh-CN"/>
              </w:rPr>
            </w:pPr>
          </w:p>
        </w:tc>
        <w:tc>
          <w:tcPr>
            <w:tcW w:w="2151" w:type="pct"/>
            <w:vMerge w:val="continue"/>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18"/>
                <w:szCs w:val="18"/>
                <w:lang w:val="en-US" w:eastAsia="zh-CN"/>
              </w:rPr>
            </w:pPr>
          </w:p>
        </w:tc>
        <w:tc>
          <w:tcPr>
            <w:tcW w:w="316" w:type="pct"/>
            <w:vMerge w:val="continue"/>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815" w:hRule="atLeast"/>
          <w:jc w:val="center"/>
        </w:trPr>
        <w:tc>
          <w:tcPr>
            <w:tcW w:w="232"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val="0"/>
                <w:bCs w:val="0"/>
                <w:color w:val="auto"/>
                <w:kern w:val="0"/>
                <w:sz w:val="20"/>
                <w:szCs w:val="20"/>
              </w:rPr>
            </w:pPr>
            <w:r>
              <w:rPr>
                <w:rFonts w:hint="default" w:ascii="Times New Roman" w:hAnsi="Times New Roman" w:eastAsia="仿宋_GB2312" w:cs="Times New Roman"/>
                <w:b w:val="0"/>
                <w:bCs w:val="0"/>
                <w:color w:val="auto"/>
                <w:kern w:val="0"/>
                <w:sz w:val="20"/>
                <w:szCs w:val="20"/>
              </w:rPr>
              <w:t>2</w:t>
            </w:r>
          </w:p>
        </w:tc>
        <w:tc>
          <w:tcPr>
            <w:tcW w:w="397" w:type="pct"/>
            <w:vMerge w:val="restart"/>
            <w:vAlign w:val="center"/>
          </w:tcPr>
          <w:p>
            <w:pPr>
              <w:keepNext w:val="0"/>
              <w:keepLines w:val="0"/>
              <w:widowControl/>
              <w:suppressLineNumbers w:val="0"/>
              <w:adjustRightInd w:val="0"/>
              <w:snapToGrid w:val="0"/>
              <w:spacing w:before="0" w:beforeAutospacing="0" w:after="0" w:afterAutospacing="0"/>
              <w:ind w:left="0" w:right="0"/>
              <w:rPr>
                <w:rFonts w:hint="default" w:ascii="Times New Roman" w:hAnsi="Times New Roman" w:eastAsia="仿宋_GB2312" w:cs="Times New Roman"/>
                <w:b w:val="0"/>
                <w:bCs w:val="0"/>
                <w:color w:val="auto"/>
                <w:kern w:val="0"/>
                <w:sz w:val="20"/>
                <w:szCs w:val="20"/>
              </w:rPr>
            </w:pPr>
            <w:r>
              <w:rPr>
                <w:rFonts w:hint="default" w:ascii="Times New Roman" w:hAnsi="Times New Roman" w:eastAsia="仿宋_GB2312" w:cs="Times New Roman"/>
                <w:b w:val="0"/>
                <w:bCs w:val="0"/>
                <w:color w:val="auto"/>
                <w:kern w:val="0"/>
                <w:sz w:val="20"/>
                <w:szCs w:val="20"/>
                <w:lang w:val="en-US" w:eastAsia="zh-CN"/>
              </w:rPr>
              <w:t>定点零售药店医疗保障基金使用管理制度执行</w:t>
            </w:r>
            <w:r>
              <w:rPr>
                <w:rFonts w:hint="default" w:ascii="Times New Roman" w:hAnsi="Times New Roman" w:eastAsia="仿宋_GB2312" w:cs="Times New Roman"/>
                <w:b w:val="0"/>
                <w:bCs w:val="0"/>
                <w:color w:val="auto"/>
                <w:kern w:val="0"/>
                <w:sz w:val="20"/>
                <w:szCs w:val="20"/>
              </w:rPr>
              <w:t>情况</w:t>
            </w:r>
          </w:p>
        </w:tc>
        <w:tc>
          <w:tcPr>
            <w:tcW w:w="388"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2.1是否按照规定保管相关资料</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p>
        </w:tc>
        <w:tc>
          <w:tcPr>
            <w:tcW w:w="1514" w:type="pct"/>
            <w:vMerge w:val="restart"/>
            <w:vAlign w:val="center"/>
          </w:tcPr>
          <w:p>
            <w:pPr>
              <w:keepNext w:val="0"/>
              <w:keepLines w:val="0"/>
              <w:suppressLineNumbers w:val="0"/>
              <w:suppressAutoHyphens/>
              <w:bidi w:val="0"/>
              <w:spacing w:before="0" w:beforeAutospacing="0" w:after="0" w:afterAutospacing="0" w:line="240" w:lineRule="auto"/>
              <w:ind w:left="0" w:right="0"/>
              <w:jc w:val="left"/>
              <w:rPr>
                <w:rFonts w:hint="default" w:ascii="Times New Roman" w:hAnsi="Times New Roman" w:eastAsia="仿宋_GB2312" w:cs="Times New Roman"/>
                <w:b w:val="0"/>
                <w:bCs w:val="0"/>
                <w:color w:val="auto"/>
                <w:kern w:val="0"/>
                <w:sz w:val="20"/>
                <w:szCs w:val="20"/>
                <w:lang w:val="en-US" w:eastAsia="zh-CN"/>
              </w:rPr>
            </w:pPr>
          </w:p>
          <w:p>
            <w:pPr>
              <w:keepNext w:val="0"/>
              <w:keepLines w:val="0"/>
              <w:suppressLineNumbers w:val="0"/>
              <w:suppressAutoHyphens/>
              <w:bidi w:val="0"/>
              <w:spacing w:before="0" w:beforeAutospacing="0" w:after="0" w:afterAutospacing="0" w:line="240" w:lineRule="auto"/>
              <w:ind w:left="0" w:right="0"/>
              <w:jc w:val="left"/>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《医疗保障基金使用监督管理条例》第十六条　定点医药机构应当按照规定保管财务账目、会计凭证、处方、病历、治疗检查记录、费用明细、药品和医用耗材出入库记录等资料，及时通过医疗保障信息系统全面准确传送医疗保障基金使用有关数据，向医疗保障行政部门报告医疗保障基金使用监督管理所需信息，向社会公开医药费用、费用结构等信息，接受社会监督。</w:t>
            </w:r>
          </w:p>
        </w:tc>
        <w:tc>
          <w:tcPr>
            <w:tcW w:w="2151" w:type="pct"/>
            <w:vMerge w:val="restar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《医疗保障基金使用监督管理条例》第三十九条  定点医药机构有下列情形之一的，由医疗保障行政部门责令改正，并可以约谈有关负责人；拒不改正的，处1万元以上5万元以下的罚款；违反其他法律、行政法规的，由有关主管部门依法处理：</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（一）未建立医疗保障基金使用内部管理制度，或者没有专门机构或者人员负责医疗保障基金使用管理工作；</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（二）未按照规定保管财务账目、会计凭证、处方、病历、治疗检查记录、费用明细、药品和医用耗材出入库记录等资料；</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（三）未按照规定通过医疗保障信息系统传送医疗保障基金使用有关数据；</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（四）未按照规定向医疗保障行政部门报告医疗保障基金使用监督管理所需信息；</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（五）未按照规定向社会公开医药费用、费用结构等信息；</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（六）除急诊、抢救等特殊情形外，未经参保人员或者其近亲属、监护人同意提供医疗保障基金支付范围以外的医药服务；</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（七）拒绝医疗保障等行政部门监督检查或者提供虚假情况。</w:t>
            </w:r>
          </w:p>
        </w:tc>
        <w:tc>
          <w:tcPr>
            <w:tcW w:w="316" w:type="pct"/>
            <w:vMerge w:val="restart"/>
            <w:vAlign w:val="center"/>
          </w:tcPr>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重点</w:t>
            </w:r>
          </w:p>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检查</w:t>
            </w:r>
          </w:p>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事项</w:t>
            </w:r>
          </w:p>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899" w:hRule="atLeast"/>
          <w:jc w:val="center"/>
        </w:trPr>
        <w:tc>
          <w:tcPr>
            <w:tcW w:w="232"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val="0"/>
                <w:bCs w:val="0"/>
                <w:color w:val="auto"/>
                <w:kern w:val="0"/>
                <w:sz w:val="20"/>
                <w:szCs w:val="20"/>
              </w:rPr>
            </w:pPr>
          </w:p>
        </w:tc>
        <w:tc>
          <w:tcPr>
            <w:tcW w:w="397" w:type="pct"/>
            <w:vMerge w:val="continue"/>
            <w:vAlign w:val="center"/>
          </w:tcPr>
          <w:p>
            <w:pPr>
              <w:keepNext w:val="0"/>
              <w:keepLines w:val="0"/>
              <w:widowControl/>
              <w:suppressLineNumbers w:val="0"/>
              <w:adjustRightInd w:val="0"/>
              <w:snapToGrid w:val="0"/>
              <w:spacing w:before="0" w:beforeAutospacing="0" w:after="0" w:afterAutospacing="0"/>
              <w:ind w:left="0" w:right="0"/>
              <w:rPr>
                <w:rFonts w:hint="default" w:ascii="Times New Roman" w:hAnsi="Times New Roman" w:eastAsia="仿宋_GB2312" w:cs="Times New Roman"/>
                <w:b w:val="0"/>
                <w:bCs w:val="0"/>
                <w:color w:val="auto"/>
                <w:kern w:val="0"/>
                <w:sz w:val="20"/>
                <w:szCs w:val="20"/>
              </w:rPr>
            </w:pPr>
          </w:p>
        </w:tc>
        <w:tc>
          <w:tcPr>
            <w:tcW w:w="388"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2.2是否按规定传送有关数据</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p>
        </w:tc>
        <w:tc>
          <w:tcPr>
            <w:tcW w:w="1514" w:type="pct"/>
            <w:vMerge w:val="continue"/>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p>
        </w:tc>
        <w:tc>
          <w:tcPr>
            <w:tcW w:w="2151" w:type="pct"/>
            <w:vMerge w:val="continue"/>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p>
        </w:tc>
        <w:tc>
          <w:tcPr>
            <w:tcW w:w="316" w:type="pct"/>
            <w:vMerge w:val="continue"/>
            <w:vAlign w:val="center"/>
          </w:tcPr>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799" w:hRule="atLeast"/>
          <w:jc w:val="center"/>
        </w:trPr>
        <w:tc>
          <w:tcPr>
            <w:tcW w:w="232"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val="0"/>
                <w:bCs w:val="0"/>
                <w:color w:val="auto"/>
                <w:kern w:val="0"/>
                <w:sz w:val="20"/>
                <w:szCs w:val="20"/>
              </w:rPr>
            </w:pPr>
          </w:p>
        </w:tc>
        <w:tc>
          <w:tcPr>
            <w:tcW w:w="397" w:type="pct"/>
            <w:vMerge w:val="continue"/>
            <w:vAlign w:val="center"/>
          </w:tcPr>
          <w:p>
            <w:pPr>
              <w:keepNext w:val="0"/>
              <w:keepLines w:val="0"/>
              <w:widowControl/>
              <w:suppressLineNumbers w:val="0"/>
              <w:adjustRightInd w:val="0"/>
              <w:snapToGrid w:val="0"/>
              <w:spacing w:before="0" w:beforeAutospacing="0" w:after="0" w:afterAutospacing="0"/>
              <w:ind w:left="0" w:right="0"/>
              <w:rPr>
                <w:rFonts w:hint="default" w:ascii="Times New Roman" w:hAnsi="Times New Roman" w:eastAsia="仿宋_GB2312" w:cs="Times New Roman"/>
                <w:b w:val="0"/>
                <w:bCs w:val="0"/>
                <w:color w:val="auto"/>
                <w:kern w:val="0"/>
                <w:sz w:val="20"/>
                <w:szCs w:val="20"/>
              </w:rPr>
            </w:pPr>
          </w:p>
        </w:tc>
        <w:tc>
          <w:tcPr>
            <w:tcW w:w="388"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2.3是否按规定报送监督管理所需信息</w:t>
            </w:r>
          </w:p>
        </w:tc>
        <w:tc>
          <w:tcPr>
            <w:tcW w:w="1514" w:type="pct"/>
            <w:vMerge w:val="continue"/>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p>
        </w:tc>
        <w:tc>
          <w:tcPr>
            <w:tcW w:w="2151" w:type="pct"/>
            <w:vMerge w:val="continue"/>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p>
        </w:tc>
        <w:tc>
          <w:tcPr>
            <w:tcW w:w="316" w:type="pct"/>
            <w:vMerge w:val="continue"/>
            <w:vAlign w:val="center"/>
          </w:tcPr>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32"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val="0"/>
                <w:bCs w:val="0"/>
                <w:color w:val="auto"/>
                <w:kern w:val="0"/>
                <w:sz w:val="20"/>
                <w:szCs w:val="20"/>
              </w:rPr>
            </w:pPr>
          </w:p>
        </w:tc>
        <w:tc>
          <w:tcPr>
            <w:tcW w:w="397" w:type="pct"/>
            <w:vMerge w:val="continue"/>
            <w:vAlign w:val="center"/>
          </w:tcPr>
          <w:p>
            <w:pPr>
              <w:keepNext w:val="0"/>
              <w:keepLines w:val="0"/>
              <w:widowControl/>
              <w:suppressLineNumbers w:val="0"/>
              <w:adjustRightInd w:val="0"/>
              <w:snapToGrid w:val="0"/>
              <w:spacing w:before="0" w:beforeAutospacing="0" w:after="0" w:afterAutospacing="0"/>
              <w:ind w:left="0" w:right="0"/>
              <w:rPr>
                <w:rFonts w:hint="default" w:ascii="Times New Roman" w:hAnsi="Times New Roman" w:eastAsia="仿宋_GB2312" w:cs="Times New Roman"/>
                <w:b w:val="0"/>
                <w:bCs w:val="0"/>
                <w:color w:val="auto"/>
                <w:kern w:val="0"/>
                <w:sz w:val="20"/>
                <w:szCs w:val="20"/>
              </w:rPr>
            </w:pPr>
          </w:p>
        </w:tc>
        <w:tc>
          <w:tcPr>
            <w:tcW w:w="388"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2.4按规定向社会公开相关信息</w:t>
            </w:r>
          </w:p>
        </w:tc>
        <w:tc>
          <w:tcPr>
            <w:tcW w:w="1514"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《医疗保障基金使用监督管理条例》第十六条  定点医药机构应当按照规定保管财务账目、会计凭证、处方、病历、治疗检查记录、费用明细、药品和医用耗材出入库记录等资料，及时通过医疗保障信息系统全面准确传送医疗保障基金使用有关数据，向医疗保障行政部门报告医疗保障基金使用监督管理所需信息，向社会公开医药费用、费用结构等信息，接受社会监督。</w:t>
            </w:r>
          </w:p>
        </w:tc>
        <w:tc>
          <w:tcPr>
            <w:tcW w:w="2151"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《医疗保障基金使用监督管理条例》第三十九条  定点医药机构有下列情形之一的，由医疗保障行政部门责令改正，并可以约谈有关负责人；拒不改正的，处1万元以上5万元以下的罚款；违反其他法律、行政法规的，由有关主管部门依法处理：</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……（五）未按照规定向社会公开医药费用、费用结构等信息；</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（六）除急诊、抢救等特殊情形外，未经参保人员或者其近亲属、监护人同意提供医疗保障基金支付范围以外的医药服务；</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cs="Times New Roman"/>
                <w:b w:val="0"/>
                <w:bCs w:val="0"/>
                <w:color w:val="auto"/>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（七）拒绝医疗保障等行政部门监督检查或者提供虚假情况。</w:t>
            </w:r>
          </w:p>
        </w:tc>
        <w:tc>
          <w:tcPr>
            <w:tcW w:w="316" w:type="pct"/>
            <w:vAlign w:val="center"/>
          </w:tcPr>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一般</w:t>
            </w:r>
          </w:p>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检查</w:t>
            </w:r>
          </w:p>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794" w:hRule="atLeast"/>
          <w:jc w:val="center"/>
        </w:trPr>
        <w:tc>
          <w:tcPr>
            <w:tcW w:w="232"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color w:val="auto"/>
                <w:kern w:val="0"/>
                <w:sz w:val="20"/>
                <w:szCs w:val="20"/>
                <w:lang w:eastAsia="zh-CN"/>
              </w:rPr>
            </w:pPr>
            <w:r>
              <w:rPr>
                <w:rFonts w:hint="default" w:ascii="Times New Roman" w:hAnsi="Times New Roman" w:eastAsia="仿宋_GB2312" w:cs="Times New Roman"/>
                <w:b w:val="0"/>
                <w:bCs w:val="0"/>
                <w:color w:val="auto"/>
                <w:kern w:val="0"/>
                <w:sz w:val="20"/>
                <w:szCs w:val="20"/>
                <w:lang w:val="en-US" w:eastAsia="zh-CN"/>
              </w:rPr>
              <w:t>3</w:t>
            </w:r>
          </w:p>
        </w:tc>
        <w:tc>
          <w:tcPr>
            <w:tcW w:w="397" w:type="pct"/>
            <w:vAlign w:val="center"/>
          </w:tcPr>
          <w:p>
            <w:pPr>
              <w:keepNext w:val="0"/>
              <w:keepLines w:val="0"/>
              <w:suppressLineNumbers w:val="0"/>
              <w:suppressAutoHyphens/>
              <w:bidi w:val="0"/>
              <w:spacing w:before="0" w:beforeAutospacing="0" w:after="0" w:afterAutospacing="0" w:line="240" w:lineRule="auto"/>
              <w:ind w:left="0" w:leftChars="0" w:right="0" w:rightChars="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社会保险核查</w:t>
            </w:r>
          </w:p>
        </w:tc>
        <w:tc>
          <w:tcPr>
            <w:tcW w:w="388" w:type="pct"/>
            <w:vAlign w:val="center"/>
          </w:tcPr>
          <w:p>
            <w:pPr>
              <w:keepNext w:val="0"/>
              <w:keepLines w:val="0"/>
              <w:suppressLineNumbers w:val="0"/>
              <w:suppressAutoHyphens/>
              <w:bidi w:val="0"/>
              <w:spacing w:before="0" w:beforeAutospacing="0" w:after="0" w:afterAutospacing="0" w:line="240" w:lineRule="auto"/>
              <w:ind w:left="0" w:leftChars="0" w:right="0" w:rightChars="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定点零售药店履行服务协议、执行费用结算项目和标准情况</w:t>
            </w:r>
          </w:p>
        </w:tc>
        <w:tc>
          <w:tcPr>
            <w:tcW w:w="1514" w:type="pct"/>
            <w:vAlign w:val="center"/>
          </w:tcPr>
          <w:p>
            <w:pPr>
              <w:keepNext w:val="0"/>
              <w:keepLines w:val="0"/>
              <w:suppressLineNumbers w:val="0"/>
              <w:suppressAutoHyphens/>
              <w:bidi w:val="0"/>
              <w:spacing w:before="0" w:beforeAutospacing="0" w:after="0" w:afterAutospacing="0" w:line="240" w:lineRule="auto"/>
              <w:ind w:left="0" w:leftChars="0" w:right="0" w:rightChars="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《社会保险经办条例》第四十二条　社会保险经办机构应当核查下列事项：</w:t>
            </w:r>
          </w:p>
          <w:p>
            <w:pPr>
              <w:keepNext w:val="0"/>
              <w:keepLines w:val="0"/>
              <w:suppressLineNumbers w:val="0"/>
              <w:suppressAutoHyphens/>
              <w:bidi w:val="0"/>
              <w:spacing w:before="0" w:beforeAutospacing="0" w:after="0" w:afterAutospacing="0" w:line="240" w:lineRule="auto"/>
              <w:ind w:left="0" w:leftChars="0" w:right="0" w:rightChars="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（一）社会保险登记和待遇享受等情况；</w:t>
            </w:r>
          </w:p>
          <w:p>
            <w:pPr>
              <w:keepNext w:val="0"/>
              <w:keepLines w:val="0"/>
              <w:suppressLineNumbers w:val="0"/>
              <w:suppressAutoHyphens/>
              <w:bidi w:val="0"/>
              <w:spacing w:before="0" w:beforeAutospacing="0" w:after="0" w:afterAutospacing="0" w:line="240" w:lineRule="auto"/>
              <w:ind w:left="0" w:leftChars="0" w:right="0" w:rightChars="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（二）社会保险服务机构履行服务协议、执行费用结算项目和标准情况；　</w:t>
            </w:r>
          </w:p>
          <w:p>
            <w:pPr>
              <w:keepNext w:val="0"/>
              <w:keepLines w:val="0"/>
              <w:suppressLineNumbers w:val="0"/>
              <w:suppressAutoHyphens/>
              <w:bidi w:val="0"/>
              <w:spacing w:before="0" w:beforeAutospacing="0" w:after="0" w:afterAutospacing="0" w:line="240" w:lineRule="auto"/>
              <w:ind w:left="0" w:leftChars="0" w:right="0" w:rightChars="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 xml:space="preserve">（三）法律、法规规定的其他事项。  </w:t>
            </w:r>
          </w:p>
        </w:tc>
        <w:tc>
          <w:tcPr>
            <w:tcW w:w="2151" w:type="pct"/>
            <w:vAlign w:val="center"/>
          </w:tcPr>
          <w:p>
            <w:pPr>
              <w:keepNext w:val="0"/>
              <w:keepLines w:val="0"/>
              <w:suppressLineNumbers w:val="0"/>
              <w:suppressAutoHyphens/>
              <w:bidi w:val="0"/>
              <w:spacing w:before="0" w:beforeAutospacing="0" w:after="0" w:afterAutospacing="0" w:line="240" w:lineRule="auto"/>
              <w:ind w:left="0" w:leftChars="0" w:right="0" w:rightChars="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1.</w:t>
            </w:r>
            <w:r>
              <w:rPr>
                <w:rFonts w:hint="default" w:ascii="Times New Roman" w:hAnsi="Times New Roman" w:eastAsia="仿宋_GB2312" w:cs="Times New Roman"/>
                <w:b w:val="0"/>
                <w:bCs w:val="0"/>
                <w:color w:val="auto"/>
                <w:kern w:val="0"/>
                <w:sz w:val="20"/>
                <w:szCs w:val="20"/>
                <w:lang w:val="en-US" w:eastAsia="zh-CN"/>
              </w:rPr>
              <w:t>《社会保险经办条例》第四十三条  社会保险经办机构发现社会保险服务机构违反服务协议的，可以督促其履行服务协议，按照服务协议约定暂停或者不予拨付费用、追回违规费用、中止相关责任人员或者所在部门涉及社会保险基金使用的社会保险服务，直至解除服务协议；社会保险服务机构及其相关责任人员有权进行陈述、申辩。</w:t>
            </w:r>
          </w:p>
          <w:p>
            <w:pPr>
              <w:keepNext w:val="0"/>
              <w:keepLines w:val="0"/>
              <w:suppressLineNumbers w:val="0"/>
              <w:suppressAutoHyphens/>
              <w:bidi w:val="0"/>
              <w:spacing w:before="0" w:beforeAutospacing="0" w:after="0" w:afterAutospacing="0" w:line="240" w:lineRule="auto"/>
              <w:ind w:left="0" w:leftChars="0" w:right="0" w:rightChars="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2.</w:t>
            </w:r>
            <w:r>
              <w:rPr>
                <w:rFonts w:hint="default" w:ascii="Times New Roman" w:hAnsi="Times New Roman" w:eastAsia="仿宋_GB2312" w:cs="Times New Roman"/>
                <w:b w:val="0"/>
                <w:bCs w:val="0"/>
                <w:color w:val="auto"/>
                <w:kern w:val="0"/>
                <w:sz w:val="20"/>
                <w:szCs w:val="20"/>
                <w:lang w:val="en-US" w:eastAsia="zh-CN"/>
              </w:rPr>
              <w:t>《社会保险经办条例》第四十四条　社会保险经办机构发现用人单位、个人、社会保险服务机构违反社会保险法律、法规、规章的，应当责令改正。对拒不改正或者依法应当由人力资源社会保障行政部门、医疗保障行政部门处理的，及时移交人力资源社会保障行政部门、医疗保障行政部门处理。</w:t>
            </w:r>
          </w:p>
        </w:tc>
        <w:tc>
          <w:tcPr>
            <w:tcW w:w="316" w:type="pct"/>
            <w:vAlign w:val="center"/>
          </w:tcPr>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一般</w:t>
            </w:r>
          </w:p>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检查</w:t>
            </w:r>
          </w:p>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803" w:hRule="atLeast"/>
          <w:jc w:val="center"/>
        </w:trPr>
        <w:tc>
          <w:tcPr>
            <w:tcW w:w="232" w:type="pct"/>
            <w:vAlign w:val="center"/>
          </w:tcPr>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0"/>
                <w:szCs w:val="20"/>
                <w:lang w:val="en" w:eastAsia="zh-CN"/>
              </w:rPr>
            </w:pPr>
            <w:r>
              <w:rPr>
                <w:rFonts w:hint="default" w:ascii="Times New Roman" w:hAnsi="Times New Roman" w:eastAsia="仿宋_GB2312" w:cs="Times New Roman"/>
                <w:b w:val="0"/>
                <w:bCs w:val="0"/>
                <w:color w:val="auto"/>
                <w:kern w:val="0"/>
                <w:sz w:val="20"/>
                <w:szCs w:val="20"/>
                <w:lang w:val="en" w:eastAsia="zh-CN"/>
              </w:rPr>
              <w:t>4</w:t>
            </w:r>
          </w:p>
        </w:tc>
        <w:tc>
          <w:tcPr>
            <w:tcW w:w="397" w:type="pct"/>
            <w:vAlign w:val="center"/>
          </w:tcPr>
          <w:p>
            <w:pPr>
              <w:keepNext w:val="0"/>
              <w:keepLines w:val="0"/>
              <w:widowControl/>
              <w:suppressLineNumbers w:val="0"/>
              <w:adjustRightInd w:val="0"/>
              <w:snapToGrid w:val="0"/>
              <w:spacing w:before="0" w:beforeAutospacing="0" w:after="0" w:afterAutospacing="0"/>
              <w:ind w:left="0" w:leftChars="0" w:right="0" w:rightChars="0"/>
              <w:rPr>
                <w:rFonts w:hint="default" w:ascii="Times New Roman" w:hAnsi="Times New Roman" w:eastAsia="仿宋_GB2312" w:cs="Times New Roman"/>
                <w:b w:val="0"/>
                <w:bCs w:val="0"/>
                <w:color w:val="auto"/>
                <w:kern w:val="0"/>
                <w:sz w:val="20"/>
                <w:szCs w:val="20"/>
                <w:lang w:val="en-US" w:eastAsia="zh-CN" w:bidi="ar-SA"/>
              </w:rPr>
            </w:pPr>
            <w:r>
              <w:rPr>
                <w:rFonts w:hint="default" w:ascii="Times New Roman" w:hAnsi="Times New Roman" w:eastAsia="仿宋_GB2312" w:cs="Times New Roman"/>
                <w:b w:val="0"/>
                <w:bCs w:val="0"/>
                <w:color w:val="auto"/>
                <w:kern w:val="0"/>
                <w:sz w:val="20"/>
                <w:szCs w:val="20"/>
                <w:lang w:val="en-US" w:eastAsia="zh-CN"/>
              </w:rPr>
              <w:t>定点零售药店提供医疗保障基金支付范围以外的医药服务的征得同意情况</w:t>
            </w:r>
          </w:p>
        </w:tc>
        <w:tc>
          <w:tcPr>
            <w:tcW w:w="388" w:type="pct"/>
            <w:vAlign w:val="center"/>
          </w:tcPr>
          <w:p>
            <w:pPr>
              <w:keepNext w:val="0"/>
              <w:keepLines w:val="0"/>
              <w:suppressLineNumbers w:val="0"/>
              <w:suppressAutoHyphens/>
              <w:bidi w:val="0"/>
              <w:spacing w:before="0" w:beforeAutospacing="0" w:after="0" w:afterAutospacing="0" w:line="240" w:lineRule="auto"/>
              <w:ind w:left="0" w:leftChars="0" w:right="0" w:rightChars="0"/>
              <w:jc w:val="both"/>
              <w:rPr>
                <w:rFonts w:hint="default" w:ascii="Times New Roman" w:hAnsi="Times New Roman" w:eastAsia="仿宋_GB2312" w:cs="Times New Roman"/>
                <w:b w:val="0"/>
                <w:bCs w:val="0"/>
                <w:color w:val="auto"/>
                <w:kern w:val="0"/>
                <w:sz w:val="20"/>
                <w:szCs w:val="20"/>
                <w:lang w:val="en-US" w:eastAsia="zh-CN" w:bidi="ar-SA"/>
              </w:rPr>
            </w:pPr>
            <w:r>
              <w:rPr>
                <w:rFonts w:hint="default" w:ascii="Times New Roman" w:hAnsi="Times New Roman" w:eastAsia="仿宋_GB2312" w:cs="Times New Roman"/>
                <w:b w:val="0"/>
                <w:bCs w:val="0"/>
                <w:color w:val="auto"/>
                <w:kern w:val="0"/>
                <w:sz w:val="20"/>
                <w:szCs w:val="20"/>
                <w:lang w:val="en-US" w:eastAsia="zh-CN"/>
              </w:rPr>
              <w:t>提供医疗保障基金支付范围以外的医药服务是否取得参保人员或者其近亲属、监护人同意</w:t>
            </w:r>
          </w:p>
        </w:tc>
        <w:tc>
          <w:tcPr>
            <w:tcW w:w="1514" w:type="pct"/>
            <w:vAlign w:val="center"/>
          </w:tcPr>
          <w:p>
            <w:pPr>
              <w:keepNext w:val="0"/>
              <w:keepLines w:val="0"/>
              <w:suppressLineNumbers w:val="0"/>
              <w:suppressAutoHyphens/>
              <w:bidi w:val="0"/>
              <w:spacing w:before="0" w:beforeAutospacing="0" w:after="0" w:afterAutospacing="0" w:line="240" w:lineRule="auto"/>
              <w:ind w:left="0" w:leftChars="0" w:right="0" w:rightChars="0"/>
              <w:jc w:val="both"/>
              <w:rPr>
                <w:rFonts w:hint="default" w:ascii="Times New Roman" w:hAnsi="Times New Roman" w:eastAsia="仿宋_GB2312" w:cs="Times New Roman"/>
                <w:b w:val="0"/>
                <w:bCs w:val="0"/>
                <w:color w:val="auto"/>
                <w:kern w:val="0"/>
                <w:sz w:val="20"/>
                <w:szCs w:val="20"/>
                <w:lang w:val="en-US" w:eastAsia="zh-CN" w:bidi="ar-SA"/>
              </w:rPr>
            </w:pPr>
            <w:r>
              <w:rPr>
                <w:rFonts w:hint="default" w:ascii="Times New Roman" w:hAnsi="Times New Roman" w:eastAsia="仿宋_GB2312" w:cs="Times New Roman"/>
                <w:b w:val="0"/>
                <w:bCs w:val="0"/>
                <w:color w:val="auto"/>
                <w:kern w:val="0"/>
                <w:sz w:val="20"/>
                <w:szCs w:val="20"/>
                <w:lang w:val="en-US" w:eastAsia="zh-CN"/>
              </w:rPr>
              <w:t>《医疗保障基金使用监督管理条例》第十五条第二款    定点医药机构应当确保医疗保障基金支付的费用符合规定的支付范围；除急诊、抢救等特殊情形外，提供医疗保障基金支付范围以外的医药服务的，应当经参保人员或者其近亲属、监护人同意。</w:t>
            </w:r>
          </w:p>
        </w:tc>
        <w:tc>
          <w:tcPr>
            <w:tcW w:w="2151"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《医疗保障基金使用监督管理条例》第三十九条  定点医药机构有下列情形之一的，由医疗保障行政部门责令改正，并可以约谈有关负责人；拒不改正的，处1万元以上5万元以下的罚款；违反其他法律、行政法规的，由有关主管部门依法处理：</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（一）未建立医疗保障基金使用内部管理制度，或者没有专门机构或者人员负责医疗保障基金使用管理工作；</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（二）未按照规定保管财务账目、会计凭证、处方、病历、治疗检查记录、费用明细、药品和医用耗材出入库记录等资料；</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（三）未按照规定通过医疗保障信息系统传送医疗保障基金使用有关数据；</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（四）未按照规定向医疗保障行政部门报告医疗保障基金使用监督管理所需信息；</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（五）未按照规定向社会公开医药费用、费用结构等信息；</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（六）除急诊、抢救等特殊情形外，未经参保人员或者其近亲属、监护人同意提供医疗保障基金支付范围以外的医药服务；</w:t>
            </w:r>
          </w:p>
          <w:p>
            <w:pPr>
              <w:keepNext w:val="0"/>
              <w:keepLines w:val="0"/>
              <w:suppressLineNumbers w:val="0"/>
              <w:suppressAutoHyphens/>
              <w:bidi w:val="0"/>
              <w:spacing w:before="0" w:beforeAutospacing="0" w:after="0" w:afterAutospacing="0" w:line="240" w:lineRule="auto"/>
              <w:ind w:left="0" w:leftChars="0" w:right="0" w:rightChars="0"/>
              <w:jc w:val="both"/>
              <w:rPr>
                <w:rFonts w:hint="default" w:ascii="Times New Roman" w:hAnsi="Times New Roman" w:eastAsia="仿宋_GB2312" w:cs="Times New Roman"/>
                <w:b w:val="0"/>
                <w:bCs w:val="0"/>
                <w:color w:val="auto"/>
                <w:kern w:val="0"/>
                <w:sz w:val="20"/>
                <w:szCs w:val="20"/>
                <w:lang w:val="en-US" w:eastAsia="zh-CN" w:bidi="ar-SA"/>
              </w:rPr>
            </w:pPr>
            <w:r>
              <w:rPr>
                <w:rFonts w:hint="default" w:ascii="Times New Roman" w:hAnsi="Times New Roman" w:eastAsia="仿宋_GB2312" w:cs="Times New Roman"/>
                <w:b w:val="0"/>
                <w:bCs w:val="0"/>
                <w:color w:val="auto"/>
                <w:kern w:val="0"/>
                <w:sz w:val="20"/>
                <w:szCs w:val="20"/>
                <w:lang w:val="en-US" w:eastAsia="zh-CN"/>
              </w:rPr>
              <w:t>（七）拒绝医疗保障等行政部门监督检查或者提供虚假情况。</w:t>
            </w:r>
          </w:p>
        </w:tc>
        <w:tc>
          <w:tcPr>
            <w:tcW w:w="316" w:type="pct"/>
            <w:vAlign w:val="center"/>
          </w:tcPr>
          <w:p>
            <w:pPr>
              <w:keepNext w:val="0"/>
              <w:keepLines w:val="0"/>
              <w:suppressLineNumbers w:val="0"/>
              <w:suppressAutoHyphens/>
              <w:bidi w:val="0"/>
              <w:spacing w:before="0" w:beforeAutospacing="0" w:after="0" w:afterAutospacing="0" w:line="240" w:lineRule="auto"/>
              <w:ind w:left="0" w:leftChars="0" w:right="0" w:rightChars="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一般</w:t>
            </w:r>
          </w:p>
          <w:p>
            <w:pPr>
              <w:keepNext w:val="0"/>
              <w:keepLines w:val="0"/>
              <w:suppressLineNumbers w:val="0"/>
              <w:suppressAutoHyphens/>
              <w:bidi w:val="0"/>
              <w:spacing w:before="0" w:beforeAutospacing="0" w:after="0" w:afterAutospacing="0" w:line="240" w:lineRule="auto"/>
              <w:ind w:left="0" w:leftChars="0" w:right="0" w:rightChars="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检查</w:t>
            </w:r>
          </w:p>
          <w:p>
            <w:pPr>
              <w:keepNext w:val="0"/>
              <w:keepLines w:val="0"/>
              <w:suppressLineNumbers w:val="0"/>
              <w:suppressAutoHyphens/>
              <w:bidi w:val="0"/>
              <w:spacing w:before="0" w:beforeAutospacing="0" w:after="0" w:afterAutospacing="0" w:line="240" w:lineRule="auto"/>
              <w:ind w:left="0" w:leftChars="0" w:right="0" w:rightChars="0"/>
              <w:jc w:val="center"/>
              <w:rPr>
                <w:rFonts w:hint="default" w:ascii="Times New Roman" w:hAnsi="Times New Roman" w:eastAsia="仿宋_GB2312" w:cs="Times New Roman"/>
                <w:b w:val="0"/>
                <w:bCs w:val="0"/>
                <w:color w:val="auto"/>
                <w:kern w:val="0"/>
                <w:sz w:val="20"/>
                <w:szCs w:val="20"/>
                <w:lang w:val="en-US" w:eastAsia="zh-CN" w:bidi="ar-SA"/>
              </w:rPr>
            </w:pPr>
            <w:r>
              <w:rPr>
                <w:rFonts w:hint="default" w:ascii="Times New Roman" w:hAnsi="Times New Roman" w:eastAsia="仿宋_GB2312" w:cs="Times New Roman"/>
                <w:b w:val="0"/>
                <w:bCs w:val="0"/>
                <w:color w:val="auto"/>
                <w:kern w:val="0"/>
                <w:sz w:val="20"/>
                <w:szCs w:val="20"/>
                <w:lang w:val="en-US" w:eastAsia="zh-CN"/>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8698" w:hRule="atLeast"/>
          <w:jc w:val="center"/>
        </w:trPr>
        <w:tc>
          <w:tcPr>
            <w:tcW w:w="232" w:type="pct"/>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color w:val="auto"/>
                <w:kern w:val="0"/>
                <w:sz w:val="20"/>
                <w:szCs w:val="20"/>
                <w:lang w:val="en" w:eastAsia="zh-CN"/>
              </w:rPr>
            </w:pPr>
            <w:r>
              <w:rPr>
                <w:rFonts w:hint="default" w:ascii="Times New Roman" w:hAnsi="Times New Roman" w:eastAsia="仿宋_GB2312" w:cs="Times New Roman"/>
                <w:b w:val="0"/>
                <w:bCs w:val="0"/>
                <w:color w:val="auto"/>
                <w:kern w:val="0"/>
                <w:sz w:val="20"/>
                <w:szCs w:val="20"/>
                <w:lang w:val="en"/>
              </w:rPr>
              <w:t>5</w:t>
            </w:r>
          </w:p>
        </w:tc>
        <w:tc>
          <w:tcPr>
            <w:tcW w:w="397" w:type="pct"/>
            <w:vMerge w:val="restart"/>
            <w:vAlign w:val="center"/>
          </w:tcPr>
          <w:p>
            <w:pPr>
              <w:keepNext w:val="0"/>
              <w:keepLines w:val="0"/>
              <w:widowControl/>
              <w:suppressLineNumbers w:val="0"/>
              <w:adjustRightInd w:val="0"/>
              <w:snapToGrid w:val="0"/>
              <w:spacing w:before="0" w:beforeAutospacing="0" w:after="0" w:afterAutospacing="0"/>
              <w:ind w:left="0" w:right="0"/>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定点零售药店医疗保障基金使用情况</w:t>
            </w:r>
          </w:p>
        </w:tc>
        <w:tc>
          <w:tcPr>
            <w:tcW w:w="388"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5.1是否依法提供医药服务，使医疗保障基金支付的费用符合规定的支付范围</w:t>
            </w:r>
          </w:p>
        </w:tc>
        <w:tc>
          <w:tcPr>
            <w:tcW w:w="1514"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1.</w:t>
            </w:r>
            <w:r>
              <w:rPr>
                <w:rFonts w:hint="default" w:ascii="Times New Roman" w:hAnsi="Times New Roman" w:eastAsia="仿宋_GB2312" w:cs="Times New Roman"/>
                <w:b w:val="0"/>
                <w:bCs w:val="0"/>
                <w:color w:val="auto"/>
                <w:kern w:val="0"/>
                <w:sz w:val="20"/>
                <w:szCs w:val="20"/>
                <w:lang w:val="en-US" w:eastAsia="zh-CN"/>
              </w:rPr>
              <w:t>《医疗保障基金使用监督管理条例》第十五条  定点医药机构及其工作人员应当执行实名就医和购药管理规定，核验参保人员医疗保障凭证，按照诊疗规范提供合理、必要的医药服务，向参保人员如实出具费用单据和相关资料，不得分解住院、挂床住院，不得违反诊疗规范过度诊疗、过度检查、分解处方、超量开药、重复开药，不得重复收费、超标准收费、分解项目收费，不得串换药品、医用耗材、诊疗项目和服务设施，不得诱导、协助他人冒名或者虚假就医、购药。</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定点医药机构应当确保医疗保障基金支付的费用符合规定的支付范围；除急诊、抢救等特殊情形外，提供医疗保障基金支付范围以外的医药服务的，应当经参保人员或者其近亲属、监护人同意。</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2.</w:t>
            </w:r>
            <w:r>
              <w:rPr>
                <w:rFonts w:hint="default" w:ascii="Times New Roman" w:hAnsi="Times New Roman" w:eastAsia="仿宋_GB2312" w:cs="Times New Roman"/>
                <w:b w:val="0"/>
                <w:bCs w:val="0"/>
                <w:color w:val="auto"/>
                <w:kern w:val="0"/>
                <w:sz w:val="20"/>
                <w:szCs w:val="20"/>
                <w:lang w:val="en-US" w:eastAsia="zh-CN"/>
              </w:rPr>
              <w:t>《医疗保障基金使用监督管理条例》第十六条  定点医药机构应当按照规定保管财务账目、会计凭证、处方、病历、治疗检查记录、费用明细、药品和医用耗材出入库记录等资料，及时通过医疗保障信息系统全面准确传送医疗保障基金使用有关数据，向医疗保障行政部门报告医疗保障基金使用监督管理所需信息，向社会公开医药费用、费用结构等信息，接受社会监督。</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p>
        </w:tc>
        <w:tc>
          <w:tcPr>
            <w:tcW w:w="2151"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《医疗保障基金使用监督管理条例》第三十八条  定点医药机构有下列情形之一的，由医疗保障行政部门责令改正，并可以约谈有关负责人；造成医疗保障基金损失的，责令退回，处造成损失金额1倍以上2倍以下的罚款；拒不改正或者造成严重后果的，责令定点医药机构暂停相关责任部门6个月以上1年以下涉及医疗保障基金使用的医药服务；违反其他法律、行政法规的，由有关主管部门依法处理：</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（一）分解住院、挂床住院；</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（二）违反诊疗规范过度诊疗、过度检查、分解处方、超量开药、重复开药或者提供其他不必要的医药服务；</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（三）重复收费、超标准收费、分解项目收费；</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（四）串换药品、医用耗材、诊疗项目和服务设施；</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（五）为参保人员利用其享受医疗保障待遇的机会转卖药品，接受返还现金、实物或者获得其他非法利益提供便利；</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（六）将不属于医疗保障基金支付范围的医药费用纳入医疗保障基金结算；</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（七）造成医疗保障基金损失的其他违法行为。</w:t>
            </w:r>
          </w:p>
        </w:tc>
        <w:tc>
          <w:tcPr>
            <w:tcW w:w="316" w:type="pct"/>
            <w:vAlign w:val="center"/>
          </w:tcPr>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重点</w:t>
            </w:r>
          </w:p>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检查</w:t>
            </w:r>
          </w:p>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8936" w:hRule="atLeast"/>
          <w:jc w:val="center"/>
        </w:trPr>
        <w:tc>
          <w:tcPr>
            <w:tcW w:w="232"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color w:val="auto"/>
                <w:kern w:val="0"/>
                <w:sz w:val="18"/>
                <w:szCs w:val="18"/>
                <w:lang w:eastAsia="zh-CN"/>
              </w:rPr>
            </w:pPr>
          </w:p>
        </w:tc>
        <w:tc>
          <w:tcPr>
            <w:tcW w:w="397" w:type="pct"/>
            <w:vMerge w:val="continue"/>
            <w:vAlign w:val="center"/>
          </w:tcPr>
          <w:p>
            <w:pPr>
              <w:keepNext w:val="0"/>
              <w:keepLines w:val="0"/>
              <w:widowControl/>
              <w:suppressLineNumbers w:val="0"/>
              <w:adjustRightInd w:val="0"/>
              <w:snapToGrid w:val="0"/>
              <w:spacing w:before="0" w:beforeAutospacing="0" w:after="0" w:afterAutospacing="0"/>
              <w:ind w:left="0" w:right="0"/>
              <w:rPr>
                <w:rFonts w:hint="default" w:ascii="Times New Roman" w:hAnsi="Times New Roman" w:eastAsia="仿宋_GB2312" w:cs="Times New Roman"/>
                <w:b w:val="0"/>
                <w:bCs w:val="0"/>
                <w:color w:val="auto"/>
                <w:sz w:val="18"/>
                <w:szCs w:val="18"/>
                <w:lang w:val="en-US" w:eastAsia="zh-CN"/>
              </w:rPr>
            </w:pPr>
          </w:p>
        </w:tc>
        <w:tc>
          <w:tcPr>
            <w:tcW w:w="388"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5.2是否存在骗取医疗保障基金的行为</w:t>
            </w:r>
          </w:p>
        </w:tc>
        <w:tc>
          <w:tcPr>
            <w:tcW w:w="1514"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《医疗保障基金使用监督管理条例》第十五条  医疗保障经办机构、定点医药机构等单位及其工作人员和参保人员等人员不得通过伪造、变造、隐匿、涂改、销毁医学文书、医学证明、会计凭证、电子信息等有关资料，或者虚构医药服务项目等方式，骗取医疗保障基金。</w:t>
            </w:r>
          </w:p>
        </w:tc>
        <w:tc>
          <w:tcPr>
            <w:tcW w:w="2151" w:type="pct"/>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bidi="ar-SA"/>
              </w:rPr>
            </w:pPr>
            <w:r>
              <w:rPr>
                <w:rFonts w:hint="default" w:ascii="Times New Roman" w:hAnsi="Times New Roman" w:cs="Times New Roman"/>
                <w:b w:val="0"/>
                <w:bCs w:val="0"/>
                <w:color w:val="auto"/>
                <w:sz w:val="20"/>
                <w:szCs w:val="20"/>
                <w:lang w:val="en-US" w:eastAsia="zh-CN"/>
              </w:rPr>
              <w:t>《</w:t>
            </w:r>
            <w:r>
              <w:rPr>
                <w:rFonts w:hint="default" w:ascii="Times New Roman" w:hAnsi="Times New Roman" w:eastAsia="仿宋_GB2312" w:cs="Times New Roman"/>
                <w:b w:val="0"/>
                <w:bCs w:val="0"/>
                <w:color w:val="auto"/>
                <w:kern w:val="0"/>
                <w:sz w:val="20"/>
                <w:szCs w:val="20"/>
                <w:lang w:val="en-US" w:eastAsia="zh-CN" w:bidi="ar-SA"/>
              </w:rPr>
              <w:t>医疗保障基金使用监督管理条例》第四十条  定点医药机构通过下列方式骗取医疗保障基金支出的，由医疗保障行政部门责令退回，处骗取金额2倍以上5倍以下的罚款；责令定点医药机构暂停相关责任部门6个月以上1年以下涉及医疗保障基金使用的医药服务，直至由医疗保障经办机构解除服务协议；有执业资格的，由有关主管部门依法吊销执业资格：</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bidi="ar-SA"/>
              </w:rPr>
            </w:pPr>
            <w:r>
              <w:rPr>
                <w:rFonts w:hint="default" w:ascii="Times New Roman" w:hAnsi="Times New Roman" w:eastAsia="仿宋_GB2312" w:cs="Times New Roman"/>
                <w:b w:val="0"/>
                <w:bCs w:val="0"/>
                <w:color w:val="auto"/>
                <w:kern w:val="0"/>
                <w:sz w:val="20"/>
                <w:szCs w:val="20"/>
                <w:lang w:val="en-US" w:eastAsia="zh-CN" w:bidi="ar-SA"/>
              </w:rPr>
              <w:t>（一）诱导、协助他人冒名或者虚假就医、购药，提供虚假证明材料，或者串通他人虚开费用单据；</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bidi="ar-SA"/>
              </w:rPr>
            </w:pPr>
            <w:r>
              <w:rPr>
                <w:rFonts w:hint="default" w:ascii="Times New Roman" w:hAnsi="Times New Roman" w:eastAsia="仿宋_GB2312" w:cs="Times New Roman"/>
                <w:b w:val="0"/>
                <w:bCs w:val="0"/>
                <w:color w:val="auto"/>
                <w:kern w:val="0"/>
                <w:sz w:val="20"/>
                <w:szCs w:val="20"/>
                <w:lang w:val="en-US" w:eastAsia="zh-CN" w:bidi="ar-SA"/>
              </w:rPr>
              <w:t>（二）伪造、变造、隐匿、涂改、销毁医学文书、医学证明、会计凭证、电子信息等有关资料；</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bidi="ar-SA"/>
              </w:rPr>
            </w:pPr>
            <w:r>
              <w:rPr>
                <w:rFonts w:hint="default" w:ascii="Times New Roman" w:hAnsi="Times New Roman" w:eastAsia="仿宋_GB2312" w:cs="Times New Roman"/>
                <w:b w:val="0"/>
                <w:bCs w:val="0"/>
                <w:color w:val="auto"/>
                <w:kern w:val="0"/>
                <w:sz w:val="20"/>
                <w:szCs w:val="20"/>
                <w:lang w:val="en-US" w:eastAsia="zh-CN" w:bidi="ar-SA"/>
              </w:rPr>
              <w:t>（三）虚构医药服务项目；</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bidi="ar-SA"/>
              </w:rPr>
            </w:pPr>
            <w:r>
              <w:rPr>
                <w:rFonts w:hint="default" w:ascii="Times New Roman" w:hAnsi="Times New Roman" w:eastAsia="仿宋_GB2312" w:cs="Times New Roman"/>
                <w:b w:val="0"/>
                <w:bCs w:val="0"/>
                <w:color w:val="auto"/>
                <w:kern w:val="0"/>
                <w:sz w:val="20"/>
                <w:szCs w:val="20"/>
                <w:lang w:val="en-US" w:eastAsia="zh-CN" w:bidi="ar-SA"/>
              </w:rPr>
              <w:t>（四）其他骗取医疗保障基金支出的行为。</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cs="Times New Roman"/>
                <w:b w:val="0"/>
                <w:bCs w:val="0"/>
                <w:color w:val="auto"/>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bidi="ar-SA"/>
              </w:rPr>
              <w:t>定点医药机构以骗取医疗保障基金为目的，实施了本条例第三十八条规定行为之一，造成医疗保障基金损失的，按照本条规定处理。</w:t>
            </w:r>
          </w:p>
        </w:tc>
        <w:tc>
          <w:tcPr>
            <w:tcW w:w="316" w:type="pct"/>
            <w:vAlign w:val="center"/>
          </w:tcPr>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一般</w:t>
            </w:r>
          </w:p>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检查</w:t>
            </w:r>
          </w:p>
          <w:p>
            <w:pPr>
              <w:keepNext w:val="0"/>
              <w:keepLines w:val="0"/>
              <w:suppressLineNumbers w:val="0"/>
              <w:suppressAutoHyphens/>
              <w:bidi w:val="0"/>
              <w:spacing w:before="0" w:beforeAutospacing="0" w:after="0" w:afterAutospacing="0" w:line="240" w:lineRule="auto"/>
              <w:ind w:left="0" w:right="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事项</w:t>
            </w:r>
          </w:p>
        </w:tc>
      </w:tr>
    </w:tbl>
    <w:p>
      <w:pPr>
        <w:pStyle w:val="3"/>
        <w:spacing w:line="240" w:lineRule="auto"/>
        <w:jc w:val="center"/>
        <w:rPr>
          <w:rFonts w:hint="default" w:ascii="Times New Roman" w:hAnsi="Times New Roman" w:eastAsia="方正小标宋简体" w:cs="Times New Roman"/>
          <w:b w:val="0"/>
          <w:bCs w:val="0"/>
          <w:color w:val="auto"/>
          <w:sz w:val="44"/>
          <w:szCs w:val="44"/>
        </w:rPr>
      </w:pPr>
      <w:r>
        <w:rPr>
          <w:rFonts w:hint="default" w:ascii="Times New Roman" w:hAnsi="Times New Roman" w:cs="Times New Roman"/>
          <w:b w:val="0"/>
          <w:bCs w:val="0"/>
          <w:color w:val="auto"/>
          <w:kern w:val="0"/>
          <w:sz w:val="18"/>
          <w:szCs w:val="18"/>
        </w:rPr>
        <w:br w:type="page"/>
      </w:r>
      <w:bookmarkStart w:id="4" w:name="_Toc1999184560"/>
      <w:r>
        <w:rPr>
          <w:rFonts w:hint="default" w:ascii="Times New Roman" w:hAnsi="Times New Roman" w:eastAsia="方正小标宋简体" w:cs="Times New Roman"/>
          <w:b w:val="0"/>
          <w:bCs w:val="0"/>
          <w:color w:val="auto"/>
          <w:kern w:val="0"/>
          <w:sz w:val="36"/>
          <w:szCs w:val="36"/>
          <w:lang w:eastAsia="zh-CN"/>
        </w:rPr>
        <w:t>四、</w:t>
      </w:r>
      <w:r>
        <w:rPr>
          <w:rFonts w:hint="default" w:ascii="Times New Roman" w:hAnsi="Times New Roman" w:eastAsia="方正小标宋简体" w:cs="Times New Roman"/>
          <w:b w:val="0"/>
          <w:bCs w:val="0"/>
          <w:color w:val="auto"/>
          <w:sz w:val="36"/>
          <w:szCs w:val="36"/>
          <w:lang w:val="en-US" w:eastAsia="zh-CN"/>
        </w:rPr>
        <w:t>个人</w:t>
      </w:r>
      <w:r>
        <w:rPr>
          <w:rFonts w:hint="default" w:ascii="Times New Roman" w:hAnsi="Times New Roman" w:eastAsia="方正小标宋简体" w:cs="Times New Roman"/>
          <w:b w:val="0"/>
          <w:bCs w:val="0"/>
          <w:color w:val="auto"/>
          <w:sz w:val="36"/>
          <w:szCs w:val="36"/>
        </w:rPr>
        <w:t>检查事项</w:t>
      </w:r>
      <w:bookmarkEnd w:id="4"/>
    </w:p>
    <w:tbl>
      <w:tblPr>
        <w:tblStyle w:val="16"/>
        <w:tblW w:w="47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642"/>
        <w:gridCol w:w="1275"/>
        <w:gridCol w:w="1183"/>
        <w:gridCol w:w="4285"/>
        <w:gridCol w:w="6713"/>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34" w:hRule="atLeast"/>
          <w:tblHeader/>
          <w:jc w:val="center"/>
        </w:trPr>
        <w:tc>
          <w:tcPr>
            <w:tcW w:w="215"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1"/>
                <w:szCs w:val="21"/>
              </w:rPr>
            </w:pPr>
            <w:r>
              <w:rPr>
                <w:rFonts w:hint="default" w:ascii="Times New Roman" w:hAnsi="Times New Roman" w:eastAsia="黑体" w:cs="Times New Roman"/>
                <w:b w:val="0"/>
                <w:bCs w:val="0"/>
                <w:color w:val="auto"/>
                <w:kern w:val="0"/>
                <w:sz w:val="21"/>
                <w:szCs w:val="21"/>
              </w:rPr>
              <w:t>序号</w:t>
            </w:r>
          </w:p>
        </w:tc>
        <w:tc>
          <w:tcPr>
            <w:tcW w:w="427"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1"/>
                <w:szCs w:val="21"/>
              </w:rPr>
            </w:pPr>
            <w:r>
              <w:rPr>
                <w:rFonts w:hint="default" w:ascii="Times New Roman" w:hAnsi="Times New Roman" w:eastAsia="黑体" w:cs="Times New Roman"/>
                <w:b w:val="0"/>
                <w:bCs w:val="0"/>
                <w:color w:val="auto"/>
                <w:kern w:val="0"/>
                <w:sz w:val="21"/>
                <w:szCs w:val="21"/>
                <w:lang w:eastAsia="zh-CN"/>
              </w:rPr>
              <w:t>检查</w:t>
            </w:r>
            <w:r>
              <w:rPr>
                <w:rFonts w:hint="default" w:ascii="Times New Roman" w:hAnsi="Times New Roman" w:eastAsia="黑体" w:cs="Times New Roman"/>
                <w:b w:val="0"/>
                <w:bCs w:val="0"/>
                <w:color w:val="auto"/>
                <w:kern w:val="0"/>
                <w:sz w:val="21"/>
                <w:szCs w:val="21"/>
              </w:rPr>
              <w:t>事项</w:t>
            </w:r>
          </w:p>
        </w:tc>
        <w:tc>
          <w:tcPr>
            <w:tcW w:w="396"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1"/>
                <w:szCs w:val="21"/>
              </w:rPr>
            </w:pPr>
            <w:r>
              <w:rPr>
                <w:rFonts w:hint="default" w:ascii="Times New Roman" w:hAnsi="Times New Roman" w:eastAsia="黑体" w:cs="Times New Roman"/>
                <w:b w:val="0"/>
                <w:bCs w:val="0"/>
                <w:color w:val="auto"/>
                <w:kern w:val="0"/>
                <w:sz w:val="21"/>
                <w:szCs w:val="21"/>
                <w:lang w:eastAsia="zh-CN"/>
              </w:rPr>
              <w:t>检查内容</w:t>
            </w:r>
          </w:p>
        </w:tc>
        <w:tc>
          <w:tcPr>
            <w:tcW w:w="1435"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1"/>
                <w:szCs w:val="21"/>
              </w:rPr>
            </w:pPr>
            <w:r>
              <w:rPr>
                <w:rFonts w:hint="default" w:ascii="Times New Roman" w:hAnsi="Times New Roman" w:eastAsia="黑体" w:cs="Times New Roman"/>
                <w:b w:val="0"/>
                <w:bCs w:val="0"/>
                <w:color w:val="auto"/>
                <w:kern w:val="0"/>
                <w:sz w:val="21"/>
                <w:szCs w:val="21"/>
                <w:lang w:eastAsia="zh-CN"/>
              </w:rPr>
              <w:t>检查依据</w:t>
            </w:r>
          </w:p>
        </w:tc>
        <w:tc>
          <w:tcPr>
            <w:tcW w:w="2248"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1"/>
                <w:szCs w:val="21"/>
                <w:lang w:val="en" w:eastAsia="zh-CN"/>
              </w:rPr>
            </w:pPr>
            <w:r>
              <w:rPr>
                <w:rFonts w:hint="default" w:ascii="Times New Roman" w:hAnsi="Times New Roman" w:eastAsia="黑体" w:cs="Times New Roman"/>
                <w:b w:val="0"/>
                <w:bCs w:val="0"/>
                <w:color w:val="auto"/>
                <w:kern w:val="0"/>
                <w:sz w:val="21"/>
                <w:szCs w:val="21"/>
                <w:lang w:val="en" w:eastAsia="zh-CN"/>
              </w:rPr>
              <w:t>法律责任</w:t>
            </w:r>
          </w:p>
        </w:tc>
        <w:tc>
          <w:tcPr>
            <w:tcW w:w="277"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leftChars="0" w:right="0" w:rightChars="0"/>
              <w:jc w:val="center"/>
              <w:rPr>
                <w:rFonts w:hint="default" w:ascii="Times New Roman" w:hAnsi="Times New Roman" w:eastAsia="黑体" w:cs="Times New Roman"/>
                <w:b w:val="0"/>
                <w:bCs w:val="0"/>
                <w:color w:val="auto"/>
                <w:kern w:val="0"/>
                <w:sz w:val="21"/>
                <w:szCs w:val="21"/>
                <w:lang w:val="en-US" w:eastAsia="zh-CN"/>
              </w:rPr>
            </w:pPr>
            <w:r>
              <w:rPr>
                <w:rFonts w:hint="default" w:ascii="Times New Roman" w:hAnsi="Times New Roman" w:eastAsia="黑体" w:cs="Times New Roman"/>
                <w:b w:val="0"/>
                <w:bCs w:val="0"/>
                <w:color w:val="auto"/>
                <w:kern w:val="0"/>
                <w:sz w:val="21"/>
                <w:szCs w:val="21"/>
                <w:lang w:val="en-US" w:eastAsia="zh-CN"/>
              </w:rPr>
              <w:t>事项</w:t>
            </w:r>
          </w:p>
          <w:p>
            <w:pPr>
              <w:keepNext w:val="0"/>
              <w:keepLines w:val="0"/>
              <w:widowControl/>
              <w:suppressLineNumbers w:val="0"/>
              <w:suppressAutoHyphens/>
              <w:bidi w:val="0"/>
              <w:adjustRightInd w:val="0"/>
              <w:snapToGrid w:val="0"/>
              <w:spacing w:before="0" w:beforeAutospacing="0" w:after="0" w:afterAutospacing="0"/>
              <w:ind w:left="0" w:leftChars="0" w:right="0" w:rightChars="0"/>
              <w:jc w:val="center"/>
              <w:rPr>
                <w:rFonts w:hint="default" w:ascii="Times New Roman" w:hAnsi="Times New Roman" w:eastAsia="黑体" w:cs="Times New Roman"/>
                <w:b w:val="0"/>
                <w:bCs w:val="0"/>
                <w:color w:val="auto"/>
                <w:kern w:val="0"/>
                <w:sz w:val="21"/>
                <w:szCs w:val="21"/>
                <w:lang w:val="en-US" w:eastAsia="zh-CN"/>
              </w:rPr>
            </w:pPr>
            <w:r>
              <w:rPr>
                <w:rFonts w:hint="default" w:ascii="Times New Roman" w:hAnsi="Times New Roman" w:eastAsia="黑体" w:cs="Times New Roman"/>
                <w:b w:val="0"/>
                <w:bCs w:val="0"/>
                <w:color w:val="auto"/>
                <w:kern w:val="0"/>
                <w:sz w:val="21"/>
                <w:szCs w:val="21"/>
                <w:lang w:val="en-US" w:eastAsia="zh-CN"/>
              </w:rPr>
              <w:t>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338" w:hRule="atLeast"/>
          <w:jc w:val="center"/>
        </w:trPr>
        <w:tc>
          <w:tcPr>
            <w:tcW w:w="215"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1</w:t>
            </w:r>
          </w:p>
        </w:tc>
        <w:tc>
          <w:tcPr>
            <w:tcW w:w="427"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leftChars="0" w:right="0" w:rightChars="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社会保险核查</w:t>
            </w:r>
          </w:p>
        </w:tc>
        <w:tc>
          <w:tcPr>
            <w:tcW w:w="396"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leftChars="0" w:right="0" w:rightChars="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是否按规定享受医疗保险</w:t>
            </w:r>
            <w:r>
              <w:rPr>
                <w:rFonts w:hint="default" w:ascii="Times New Roman" w:hAnsi="Times New Roman" w:eastAsia="仿宋_GB2312" w:cs="Times New Roman"/>
                <w:b w:val="0"/>
                <w:bCs w:val="0"/>
                <w:color w:val="auto"/>
                <w:kern w:val="0"/>
                <w:sz w:val="20"/>
                <w:szCs w:val="20"/>
                <w:lang w:val="en-US" w:eastAsia="zh-CN"/>
              </w:rPr>
              <w:t>待遇</w:t>
            </w:r>
          </w:p>
        </w:tc>
        <w:tc>
          <w:tcPr>
            <w:tcW w:w="1435" w:type="pct"/>
            <w:noWrap w:val="0"/>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1.《中华人民共和国社会保险法》第七十七条　县级以上人民政府社会保险行政部门应当加强对用人单位和个人遵守社会保险法律、法规情况的监督检查。</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社会保险行政部门实施监督检查时，被检查的用人单位和个人应当如实提供与社会保险有关的资料，不得拒绝检查或者谎报、瞒报。</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2.</w:t>
            </w:r>
            <w:r>
              <w:rPr>
                <w:rFonts w:hint="default" w:ascii="Times New Roman" w:hAnsi="Times New Roman" w:eastAsia="仿宋_GB2312" w:cs="Times New Roman"/>
                <w:b w:val="0"/>
                <w:bCs w:val="0"/>
                <w:color w:val="auto"/>
                <w:kern w:val="0"/>
                <w:sz w:val="20"/>
                <w:szCs w:val="20"/>
                <w:lang w:val="en-US" w:eastAsia="zh-CN"/>
              </w:rPr>
              <w:t>《社会保险经办条例》第四十二条　社会保险经办机构应当核查下列事项：</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（一）社会保险登记和待遇享受等情况；</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（二）社会保险服务机构履行服务协议、执行费用结算项目和标准情况；　</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 xml:space="preserve">（三）法律、法规规定的其他事项。       </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3.</w:t>
            </w:r>
            <w:r>
              <w:rPr>
                <w:rFonts w:hint="default" w:ascii="Times New Roman" w:hAnsi="Times New Roman" w:eastAsia="仿宋_GB2312" w:cs="Times New Roman"/>
                <w:b w:val="0"/>
                <w:bCs w:val="0"/>
                <w:color w:val="auto"/>
                <w:kern w:val="0"/>
                <w:sz w:val="20"/>
                <w:szCs w:val="20"/>
                <w:lang w:val="en-US" w:eastAsia="zh-CN"/>
              </w:rPr>
              <w:t>《社会保险稽核办法》第二条　本办法所称稽核是指社会保险经办机构依法对社会保险费缴纳情况和社会保险待遇领取情况进行的核查。</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4</w:t>
            </w:r>
            <w:r>
              <w:rPr>
                <w:rFonts w:hint="default" w:ascii="Times New Roman" w:hAnsi="Times New Roman" w:eastAsia="仿宋_GB2312" w:cs="Times New Roman"/>
                <w:b w:val="0"/>
                <w:bCs w:val="0"/>
                <w:color w:val="auto"/>
                <w:kern w:val="0"/>
                <w:sz w:val="20"/>
                <w:szCs w:val="20"/>
                <w:lang w:val="en-US" w:eastAsia="zh-CN"/>
              </w:rPr>
              <w:t>.《社会保险稽核办法》第三条　县级以上社会保险经办机构负责社会保险稽核工作。县级以上社会保险经办机构的稽核部门具体承办社会保险稽核工作。</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5.</w:t>
            </w:r>
            <w:r>
              <w:rPr>
                <w:rFonts w:hint="default" w:ascii="Times New Roman" w:hAnsi="Times New Roman" w:eastAsia="仿宋_GB2312" w:cs="Times New Roman"/>
                <w:b w:val="0"/>
                <w:bCs w:val="0"/>
                <w:color w:val="auto"/>
                <w:kern w:val="0"/>
                <w:sz w:val="20"/>
                <w:szCs w:val="20"/>
                <w:lang w:val="en-US" w:eastAsia="zh-CN"/>
              </w:rPr>
              <w:t>《社会保险稽核办法》第十二条　社会保险经办机构应当对参保个人领取社会保险待遇情况进行核查。</w:t>
            </w:r>
          </w:p>
        </w:tc>
        <w:tc>
          <w:tcPr>
            <w:tcW w:w="2248" w:type="pct"/>
            <w:noWrap w:val="0"/>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1.《中华人民共和国社会保险法》</w:t>
            </w:r>
            <w:r>
              <w:rPr>
                <w:rFonts w:hint="default" w:ascii="Times New Roman" w:hAnsi="Times New Roman" w:eastAsia="仿宋_GB2312" w:cs="Times New Roman"/>
                <w:b w:val="0"/>
                <w:bCs w:val="0"/>
                <w:color w:val="auto"/>
                <w:kern w:val="0"/>
                <w:sz w:val="20"/>
                <w:szCs w:val="20"/>
                <w:lang w:val="en-US" w:eastAsia="zh-CN"/>
              </w:rPr>
              <w:t>第八十八条　以欺诈、伪造证明材料或者其他手段骗取社会保险待遇的，由社会保险行政部门责令退回骗取的社会保险金，处骗取金额二倍以上五倍以下的罚款。</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2.</w:t>
            </w:r>
            <w:r>
              <w:rPr>
                <w:rFonts w:hint="default" w:ascii="Times New Roman" w:hAnsi="Times New Roman" w:eastAsia="仿宋_GB2312" w:cs="Times New Roman"/>
                <w:b w:val="0"/>
                <w:bCs w:val="0"/>
                <w:color w:val="auto"/>
                <w:kern w:val="0"/>
                <w:sz w:val="20"/>
                <w:szCs w:val="20"/>
                <w:lang w:val="en-US" w:eastAsia="zh-CN"/>
              </w:rPr>
              <w:t>《社会保险经办条例》第四十六条　个人多享受社会保险待遇的，由社会保险经办机构责令退回；难以一次性退回的，可以签订还款协议分期退回，也可以从其后续享受的社会保险待遇或者个人账户余额中抵扣。</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 w:eastAsia="zh-CN"/>
              </w:rPr>
            </w:pPr>
            <w:r>
              <w:rPr>
                <w:rFonts w:hint="default" w:ascii="Times New Roman" w:hAnsi="Times New Roman" w:eastAsia="仿宋_GB2312" w:cs="Times New Roman"/>
                <w:b w:val="0"/>
                <w:bCs w:val="0"/>
                <w:color w:val="auto"/>
                <w:kern w:val="0"/>
                <w:sz w:val="20"/>
                <w:szCs w:val="20"/>
                <w:lang w:val="en" w:eastAsia="zh-CN"/>
              </w:rPr>
              <w:t>3.</w:t>
            </w:r>
            <w:r>
              <w:rPr>
                <w:rFonts w:hint="default" w:ascii="Times New Roman" w:hAnsi="Times New Roman" w:eastAsia="仿宋_GB2312" w:cs="Times New Roman"/>
                <w:b w:val="0"/>
                <w:bCs w:val="0"/>
                <w:color w:val="auto"/>
                <w:kern w:val="0"/>
                <w:sz w:val="20"/>
                <w:szCs w:val="20"/>
                <w:lang w:val="en-US" w:eastAsia="zh-CN"/>
              </w:rPr>
              <w:t>《社会保险经办条例》第五十五条　以欺诈、伪造证明材料或者其他手段骗取社会保险基金支出的，由人力资源社会保障行政部门、医疗保障行政部门按照各自职责责令退回，处骗取金额2倍以上5倍以下的罚款。</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4.</w:t>
            </w:r>
            <w:r>
              <w:rPr>
                <w:rFonts w:hint="default" w:ascii="Times New Roman" w:hAnsi="Times New Roman" w:eastAsia="仿宋_GB2312" w:cs="Times New Roman"/>
                <w:b w:val="0"/>
                <w:bCs w:val="0"/>
                <w:color w:val="auto"/>
                <w:kern w:val="0"/>
                <w:sz w:val="20"/>
                <w:szCs w:val="20"/>
                <w:lang w:val="en-US" w:eastAsia="zh-CN"/>
              </w:rPr>
              <w:t>《医疗保障基金使用监督管理条例》第四十一条　个人有下列情形之一的，由医疗保障行政部门责令改正；造成医疗保障基金损失的，责令退回；属于参保人员的，暂停其医疗费用联网结算3个月至12个月：</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（一）将本人的医疗保障凭证交由他人冒名使用；</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（二）重复享受医疗保障待遇；</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（三）利用享受医疗保障待遇的机会转卖药品，接受返还现金、实物或者获得其他非法利益。</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cs="Times New Roman"/>
                <w:b w:val="0"/>
                <w:bCs w:val="0"/>
                <w:color w:val="auto"/>
                <w:sz w:val="20"/>
                <w:szCs w:val="20"/>
                <w:lang w:val="en" w:eastAsia="zh-CN"/>
              </w:rPr>
            </w:pPr>
            <w:r>
              <w:rPr>
                <w:rFonts w:hint="default" w:ascii="Times New Roman" w:hAnsi="Times New Roman" w:eastAsia="仿宋_GB2312" w:cs="Times New Roman"/>
                <w:b w:val="0"/>
                <w:bCs w:val="0"/>
                <w:color w:val="auto"/>
                <w:kern w:val="0"/>
                <w:sz w:val="20"/>
                <w:szCs w:val="20"/>
                <w:lang w:val="en-US" w:eastAsia="zh-CN"/>
              </w:rPr>
              <w:t>个人以骗取医疗保障基金为目的，实施了前款规定行为之一，造成医疗保障基金损失的；或者使用他人医疗保障凭证冒名就医、购药的；或者通过伪造、变造、隐匿、涂改、销毁医学文书、医学证明、会计凭证、电子信息等有关资料或者虚构医药服务项目等方式，骗取医疗保障基金支出的，除依照前款规定处理外，还应当由医疗保障行政部门处骗取金额2倍以上5倍以下的罚款。</w:t>
            </w:r>
          </w:p>
        </w:tc>
        <w:tc>
          <w:tcPr>
            <w:tcW w:w="277" w:type="pct"/>
            <w:noWrap w:val="0"/>
            <w:vAlign w:val="center"/>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color w:val="auto"/>
                <w:kern w:val="2"/>
                <w:sz w:val="20"/>
                <w:szCs w:val="20"/>
                <w:lang w:val="en-US" w:eastAsia="zh-CN" w:bidi="ar-SA"/>
              </w:rPr>
            </w:pPr>
            <w:r>
              <w:rPr>
                <w:rFonts w:hint="default" w:ascii="Times New Roman" w:hAnsi="Times New Roman" w:eastAsia="仿宋_GB2312" w:cs="Times New Roman"/>
                <w:b w:val="0"/>
                <w:bCs w:val="0"/>
                <w:color w:val="auto"/>
                <w:kern w:val="2"/>
                <w:sz w:val="20"/>
                <w:szCs w:val="20"/>
                <w:lang w:val="en-US" w:eastAsia="zh-CN" w:bidi="ar-SA"/>
              </w:rPr>
              <w:t>一般</w:t>
            </w:r>
          </w:p>
          <w:p>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color w:val="auto"/>
                <w:kern w:val="2"/>
                <w:sz w:val="20"/>
                <w:szCs w:val="20"/>
                <w:lang w:val="en-US" w:eastAsia="zh-CN" w:bidi="ar-SA"/>
              </w:rPr>
            </w:pPr>
            <w:r>
              <w:rPr>
                <w:rFonts w:hint="default" w:ascii="Times New Roman" w:hAnsi="Times New Roman" w:eastAsia="仿宋_GB2312" w:cs="Times New Roman"/>
                <w:b w:val="0"/>
                <w:bCs w:val="0"/>
                <w:color w:val="auto"/>
                <w:kern w:val="2"/>
                <w:sz w:val="20"/>
                <w:szCs w:val="20"/>
                <w:lang w:val="en-US" w:eastAsia="zh-CN" w:bidi="ar-SA"/>
              </w:rPr>
              <w:t>检查</w:t>
            </w:r>
          </w:p>
          <w:p>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color w:val="auto"/>
                <w:kern w:val="2"/>
                <w:sz w:val="20"/>
                <w:szCs w:val="20"/>
                <w:lang w:val="en-US" w:eastAsia="zh-CN" w:bidi="ar-SA"/>
              </w:rPr>
            </w:pPr>
            <w:r>
              <w:rPr>
                <w:rFonts w:hint="default" w:ascii="Times New Roman" w:hAnsi="Times New Roman" w:eastAsia="仿宋_GB2312" w:cs="Times New Roman"/>
                <w:b w:val="0"/>
                <w:bCs w:val="0"/>
                <w:color w:val="auto"/>
                <w:kern w:val="2"/>
                <w:sz w:val="20"/>
                <w:szCs w:val="20"/>
                <w:lang w:val="en-US" w:eastAsia="zh-CN" w:bidi="ar-SA"/>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8269" w:hRule="atLeast"/>
          <w:jc w:val="center"/>
        </w:trPr>
        <w:tc>
          <w:tcPr>
            <w:tcW w:w="215"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2</w:t>
            </w:r>
          </w:p>
        </w:tc>
        <w:tc>
          <w:tcPr>
            <w:tcW w:w="427"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leftChars="0" w:right="0" w:rightChars="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医疗保障基金使用情况</w:t>
            </w:r>
          </w:p>
        </w:tc>
        <w:tc>
          <w:tcPr>
            <w:tcW w:w="396" w:type="pct"/>
            <w:noWrap w:val="0"/>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 w:eastAsia="zh-CN"/>
              </w:rPr>
            </w:pPr>
            <w:r>
              <w:rPr>
                <w:rFonts w:hint="default" w:ascii="Times New Roman" w:hAnsi="Times New Roman" w:eastAsia="仿宋_GB2312" w:cs="Times New Roman"/>
                <w:b w:val="0"/>
                <w:bCs w:val="0"/>
                <w:color w:val="auto"/>
                <w:kern w:val="0"/>
                <w:sz w:val="21"/>
                <w:szCs w:val="21"/>
                <w:lang w:val="en-US" w:eastAsia="zh-CN"/>
              </w:rPr>
              <w:t>是否</w:t>
            </w:r>
            <w:r>
              <w:rPr>
                <w:rFonts w:hint="default" w:ascii="Times New Roman" w:hAnsi="Times New Roman" w:eastAsia="仿宋_GB2312" w:cs="Times New Roman"/>
                <w:b w:val="0"/>
                <w:bCs w:val="0"/>
                <w:color w:val="auto"/>
                <w:kern w:val="0"/>
                <w:sz w:val="21"/>
                <w:szCs w:val="21"/>
                <w:lang w:val="en" w:eastAsia="zh-CN"/>
              </w:rPr>
              <w:t>存在违反医疗保障基金使用法律、法规的行为</w:t>
            </w:r>
          </w:p>
        </w:tc>
        <w:tc>
          <w:tcPr>
            <w:tcW w:w="1435" w:type="pct"/>
            <w:noWrap w:val="0"/>
            <w:vAlign w:val="center"/>
          </w:tcPr>
          <w:p>
            <w:pPr>
              <w:keepNext w:val="0"/>
              <w:keepLines w:val="0"/>
              <w:numPr>
                <w:ilvl w:val="0"/>
                <w:numId w:val="0"/>
              </w:numPr>
              <w:suppressLineNumbers w:val="0"/>
              <w:suppressAutoHyphens/>
              <w:bidi w:val="0"/>
              <w:spacing w:before="0" w:beforeAutospacing="0" w:after="0" w:afterAutospacing="0" w:line="240" w:lineRule="auto"/>
              <w:ind w:left="0" w:right="0" w:rightChars="0"/>
              <w:jc w:val="both"/>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1.《中华人民共和国社会保险法》第七十七条　县级以上人民政府社会保险行政部门应当加强对用人单位和个人遵守社会保险法律、法规情况的监督检查。</w:t>
            </w:r>
          </w:p>
          <w:p>
            <w:pPr>
              <w:keepNext w:val="0"/>
              <w:keepLines w:val="0"/>
              <w:numPr>
                <w:ilvl w:val="0"/>
                <w:numId w:val="0"/>
              </w:numPr>
              <w:suppressLineNumbers w:val="0"/>
              <w:suppressAutoHyphens/>
              <w:bidi w:val="0"/>
              <w:spacing w:before="0" w:beforeAutospacing="0" w:after="0" w:afterAutospacing="0" w:line="240" w:lineRule="auto"/>
              <w:ind w:left="0" w:right="0" w:rightChars="0"/>
              <w:jc w:val="both"/>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社会保险行政部门实施监督检查时，被检查的用人单位和个人应当如实提供与社会保险有关的资料，不得拒绝检查或者谎报、瞒报。</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color w:val="auto"/>
                <w:sz w:val="21"/>
                <w:szCs w:val="21"/>
                <w:lang w:val="en" w:eastAsia="zh-CN"/>
              </w:rPr>
            </w:pPr>
            <w:r>
              <w:rPr>
                <w:rFonts w:hint="default" w:ascii="Times New Roman" w:hAnsi="Times New Roman" w:eastAsia="仿宋_GB2312" w:cs="Times New Roman"/>
                <w:color w:val="auto"/>
                <w:sz w:val="21"/>
                <w:szCs w:val="21"/>
                <w:lang w:val="en" w:eastAsia="zh-CN"/>
              </w:rPr>
              <w:t>2</w:t>
            </w:r>
            <w:r>
              <w:rPr>
                <w:rFonts w:hint="default" w:ascii="Times New Roman" w:hAnsi="Times New Roman" w:eastAsia="仿宋_GB2312" w:cs="Times New Roman"/>
                <w:color w:val="auto"/>
                <w:sz w:val="21"/>
                <w:szCs w:val="21"/>
                <w:lang w:val="en-US" w:eastAsia="zh-CN"/>
              </w:rPr>
              <w:t>.《医疗保障基金使用监督管理条例》第二十二条第二款　医疗保障行政部门应当加强对纳入医疗保障基金支付范围的医疗服务行为和医疗费用的监督，规范医疗保障经办业务，依法查处违法使用医疗保障基金的行为。</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 w:eastAsia="zh-CN"/>
              </w:rPr>
              <w:t>3.</w:t>
            </w:r>
            <w:r>
              <w:rPr>
                <w:rFonts w:hint="default" w:ascii="Times New Roman" w:hAnsi="Times New Roman" w:eastAsia="仿宋_GB2312" w:cs="Times New Roman"/>
                <w:color w:val="auto"/>
                <w:sz w:val="21"/>
                <w:szCs w:val="21"/>
                <w:lang w:val="en-US" w:eastAsia="zh-CN"/>
              </w:rPr>
              <w:t>《医疗保障基金使用监督管理条例》第二十七条　医疗保障行政部门实施监督检查，可以采取下列措施：</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（一）进入现场检查；</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（二）询问有关人员；</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（三）要求被检查对象提供与检查事项相关的文件资料，并作出解释和说明……</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caps w:val="0"/>
                <w:color w:val="auto"/>
                <w:spacing w:val="0"/>
                <w:kern w:val="0"/>
                <w:sz w:val="21"/>
                <w:szCs w:val="21"/>
                <w:shd w:val="clear" w:fill="FFFFFF"/>
                <w:lang w:val="en-US" w:eastAsia="zh-CN" w:bidi="ar"/>
              </w:rPr>
              <w:t>（七）法律、法规规定的其他措施。</w:t>
            </w:r>
          </w:p>
          <w:p>
            <w:pPr>
              <w:pStyle w:val="2"/>
              <w:keepNext w:val="0"/>
              <w:keepLines w:val="0"/>
              <w:suppressLineNumbers w:val="0"/>
              <w:spacing w:beforeAutospacing="0" w:afterAutospacing="0"/>
              <w:ind w:left="0" w:right="0"/>
              <w:rPr>
                <w:rFonts w:hint="default" w:ascii="Times New Roman" w:hAnsi="Times New Roman" w:cs="Times New Roman"/>
                <w:color w:val="auto"/>
                <w:lang w:val="en-US" w:eastAsia="zh-CN"/>
              </w:rPr>
            </w:pPr>
          </w:p>
        </w:tc>
        <w:tc>
          <w:tcPr>
            <w:tcW w:w="2248" w:type="pct"/>
            <w:noWrap w:val="0"/>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 w:eastAsia="zh-CN"/>
              </w:rPr>
              <w:t>1.《中华人民共和国社会保险法》</w:t>
            </w:r>
            <w:r>
              <w:rPr>
                <w:rFonts w:hint="default" w:ascii="Times New Roman" w:hAnsi="Times New Roman" w:eastAsia="仿宋_GB2312" w:cs="Times New Roman"/>
                <w:b w:val="0"/>
                <w:bCs w:val="0"/>
                <w:color w:val="auto"/>
                <w:kern w:val="0"/>
                <w:sz w:val="21"/>
                <w:szCs w:val="21"/>
                <w:lang w:val="en-US" w:eastAsia="zh-CN"/>
              </w:rPr>
              <w:t>第八十八条　以欺诈、伪造证明材料或者其他手段骗取社会保险待遇的，由社会保险行政部门责令退回骗取的社会保险金，处骗取金额二倍以上五倍以下的罚款。</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 w:eastAsia="zh-CN"/>
              </w:rPr>
              <w:t>2.</w:t>
            </w:r>
            <w:r>
              <w:rPr>
                <w:rFonts w:hint="default" w:ascii="Times New Roman" w:hAnsi="Times New Roman" w:eastAsia="仿宋_GB2312" w:cs="Times New Roman"/>
                <w:b w:val="0"/>
                <w:bCs w:val="0"/>
                <w:color w:val="auto"/>
                <w:kern w:val="0"/>
                <w:sz w:val="21"/>
                <w:szCs w:val="21"/>
                <w:lang w:val="en-US" w:eastAsia="zh-CN"/>
              </w:rPr>
              <w:t>《社会保险经办条例》第四十四条　社会保险经办机构发现用人单位、个人、社会保险服务机构违反社会保险法律、法规、规章的，应当责令改正。对拒不改正或者依法应当由人力资源社会保障行政部门、医疗保障行政部门处理的，及时移交人力资源社会保障行政部门、医疗保障行政部门处理。</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 w:eastAsia="zh-CN"/>
              </w:rPr>
            </w:pPr>
            <w:r>
              <w:rPr>
                <w:rFonts w:hint="default" w:ascii="Times New Roman" w:hAnsi="Times New Roman" w:eastAsia="仿宋_GB2312" w:cs="Times New Roman"/>
                <w:b w:val="0"/>
                <w:bCs w:val="0"/>
                <w:color w:val="auto"/>
                <w:kern w:val="0"/>
                <w:sz w:val="21"/>
                <w:szCs w:val="21"/>
                <w:lang w:val="en" w:eastAsia="zh-CN"/>
              </w:rPr>
              <w:t>3.</w:t>
            </w:r>
            <w:r>
              <w:rPr>
                <w:rFonts w:hint="default" w:ascii="Times New Roman" w:hAnsi="Times New Roman" w:eastAsia="仿宋_GB2312" w:cs="Times New Roman"/>
                <w:b w:val="0"/>
                <w:bCs w:val="0"/>
                <w:color w:val="auto"/>
                <w:kern w:val="0"/>
                <w:sz w:val="21"/>
                <w:szCs w:val="21"/>
                <w:lang w:val="en-US" w:eastAsia="zh-CN"/>
              </w:rPr>
              <w:t>《社会保险经办条例》第五十五条　以欺诈、伪造证明材料或者其他手段骗取社会保险基金支出的，由人力资源社会保障行政部门、医疗保障行政部门按照各自职责责令退回，处骗取金额2倍以上5倍以下的罚款。</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 w:eastAsia="zh-CN"/>
              </w:rPr>
              <w:t>4.</w:t>
            </w:r>
            <w:r>
              <w:rPr>
                <w:rFonts w:hint="default" w:ascii="Times New Roman" w:hAnsi="Times New Roman" w:eastAsia="仿宋_GB2312" w:cs="Times New Roman"/>
                <w:b w:val="0"/>
                <w:bCs w:val="0"/>
                <w:color w:val="auto"/>
                <w:kern w:val="0"/>
                <w:sz w:val="21"/>
                <w:szCs w:val="21"/>
                <w:lang w:val="en-US" w:eastAsia="zh-CN"/>
              </w:rPr>
              <w:t>《医疗保障基金使用监督管理条例》第四十一条　个人有下列情形之一的，由医疗保障行政部门责令改正；造成医疗保障基金损失的，责令退回；属于参保人员的，暂停其医疗费用联网结算3个月至12个月：</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（一）将本人的医疗保障凭证交由他人冒名使用；</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（二）重复享受医疗保障待遇；</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（三）利用享受医疗保障待遇的机会转卖药品，接受返还现金、实物或者获得其他非法利益。</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个人以骗取医疗保障基金为目的，实施了前款规定行为之一，造成医疗保障基金损失的；或者使用他人医疗保障凭证冒名就医、购药的；或者通过伪造、变造、隐匿、涂改、销毁医学文书、医学证明、会计凭证、电子信息等有关资料或者虚构医药服务项目等方式，骗取医疗保障基金支出的，除依照前款规定处理外，还应当由医疗保障行政部门处骗取金额2倍以上5倍以下的罚款。</w:t>
            </w:r>
          </w:p>
        </w:tc>
        <w:tc>
          <w:tcPr>
            <w:tcW w:w="277" w:type="pct"/>
            <w:noWrap w:val="0"/>
            <w:vAlign w:val="center"/>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color w:val="auto"/>
                <w:kern w:val="2"/>
                <w:sz w:val="21"/>
                <w:szCs w:val="21"/>
                <w:lang w:val="en-US" w:eastAsia="zh-CN" w:bidi="ar-SA"/>
              </w:rPr>
            </w:pPr>
            <w:r>
              <w:rPr>
                <w:rFonts w:hint="default" w:ascii="Times New Roman" w:hAnsi="Times New Roman" w:eastAsia="仿宋_GB2312" w:cs="Times New Roman"/>
                <w:b w:val="0"/>
                <w:bCs w:val="0"/>
                <w:color w:val="auto"/>
                <w:kern w:val="2"/>
                <w:sz w:val="21"/>
                <w:szCs w:val="21"/>
                <w:lang w:val="en-US" w:eastAsia="zh-CN" w:bidi="ar-SA"/>
              </w:rPr>
              <w:t>一般</w:t>
            </w:r>
          </w:p>
          <w:p>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color w:val="auto"/>
                <w:kern w:val="2"/>
                <w:sz w:val="21"/>
                <w:szCs w:val="21"/>
                <w:lang w:val="en-US" w:eastAsia="zh-CN" w:bidi="ar-SA"/>
              </w:rPr>
            </w:pPr>
            <w:r>
              <w:rPr>
                <w:rFonts w:hint="default" w:ascii="Times New Roman" w:hAnsi="Times New Roman" w:eastAsia="仿宋_GB2312" w:cs="Times New Roman"/>
                <w:b w:val="0"/>
                <w:bCs w:val="0"/>
                <w:color w:val="auto"/>
                <w:kern w:val="2"/>
                <w:sz w:val="21"/>
                <w:szCs w:val="21"/>
                <w:lang w:val="en-US" w:eastAsia="zh-CN" w:bidi="ar-SA"/>
              </w:rPr>
              <w:t>检查</w:t>
            </w:r>
          </w:p>
          <w:p>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color w:val="auto"/>
                <w:kern w:val="2"/>
                <w:sz w:val="21"/>
                <w:szCs w:val="21"/>
                <w:lang w:val="en-US" w:eastAsia="zh-CN" w:bidi="ar-SA"/>
              </w:rPr>
            </w:pPr>
            <w:r>
              <w:rPr>
                <w:rFonts w:hint="default" w:ascii="Times New Roman" w:hAnsi="Times New Roman" w:eastAsia="仿宋_GB2312" w:cs="Times New Roman"/>
                <w:b w:val="0"/>
                <w:bCs w:val="0"/>
                <w:color w:val="auto"/>
                <w:kern w:val="2"/>
                <w:sz w:val="21"/>
                <w:szCs w:val="21"/>
                <w:lang w:val="en-US" w:eastAsia="zh-CN" w:bidi="ar-SA"/>
              </w:rPr>
              <w:t>事项</w:t>
            </w:r>
          </w:p>
        </w:tc>
      </w:tr>
    </w:tbl>
    <w:p>
      <w:pPr>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br w:type="page"/>
      </w:r>
    </w:p>
    <w:p>
      <w:pPr>
        <w:pStyle w:val="3"/>
        <w:spacing w:line="240" w:lineRule="auto"/>
        <w:jc w:val="center"/>
        <w:rPr>
          <w:rFonts w:hint="default" w:ascii="Times New Roman" w:hAnsi="Times New Roman" w:eastAsia="方正小标宋简体" w:cs="Times New Roman"/>
          <w:b w:val="0"/>
          <w:bCs w:val="0"/>
          <w:color w:val="auto"/>
          <w:sz w:val="36"/>
          <w:szCs w:val="36"/>
        </w:rPr>
      </w:pPr>
      <w:bookmarkStart w:id="5" w:name="_Toc1786917738"/>
      <w:r>
        <w:rPr>
          <w:rFonts w:hint="default" w:ascii="Times New Roman" w:hAnsi="Times New Roman" w:eastAsia="方正小标宋简体" w:cs="Times New Roman"/>
          <w:b w:val="0"/>
          <w:bCs w:val="0"/>
          <w:color w:val="auto"/>
          <w:sz w:val="36"/>
          <w:szCs w:val="36"/>
          <w:lang w:val="en-US" w:eastAsia="zh-CN"/>
        </w:rPr>
        <w:t>五、经办机构</w:t>
      </w:r>
      <w:r>
        <w:rPr>
          <w:rFonts w:hint="default" w:ascii="Times New Roman" w:hAnsi="Times New Roman" w:eastAsia="方正小标宋简体" w:cs="Times New Roman"/>
          <w:b w:val="0"/>
          <w:bCs w:val="0"/>
          <w:color w:val="auto"/>
          <w:sz w:val="36"/>
          <w:szCs w:val="36"/>
        </w:rPr>
        <w:t>检查事项</w:t>
      </w:r>
      <w:bookmarkEnd w:id="5"/>
    </w:p>
    <w:tbl>
      <w:tblPr>
        <w:tblStyle w:val="16"/>
        <w:tblW w:w="45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635"/>
        <w:gridCol w:w="1274"/>
        <w:gridCol w:w="1182"/>
        <w:gridCol w:w="4543"/>
        <w:gridCol w:w="5668"/>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70" w:hRule="atLeast"/>
          <w:tblHeader/>
          <w:jc w:val="center"/>
        </w:trPr>
        <w:tc>
          <w:tcPr>
            <w:tcW w:w="222"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0"/>
                <w:szCs w:val="20"/>
              </w:rPr>
            </w:pPr>
            <w:r>
              <w:rPr>
                <w:rFonts w:hint="default" w:ascii="Times New Roman" w:hAnsi="Times New Roman" w:eastAsia="黑体" w:cs="Times New Roman"/>
                <w:b w:val="0"/>
                <w:bCs w:val="0"/>
                <w:color w:val="auto"/>
                <w:kern w:val="0"/>
                <w:sz w:val="20"/>
                <w:szCs w:val="20"/>
              </w:rPr>
              <w:t>序号</w:t>
            </w:r>
          </w:p>
        </w:tc>
        <w:tc>
          <w:tcPr>
            <w:tcW w:w="445"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0"/>
                <w:szCs w:val="20"/>
              </w:rPr>
            </w:pPr>
            <w:r>
              <w:rPr>
                <w:rFonts w:hint="default" w:ascii="Times New Roman" w:hAnsi="Times New Roman" w:eastAsia="黑体" w:cs="Times New Roman"/>
                <w:b w:val="0"/>
                <w:bCs w:val="0"/>
                <w:color w:val="auto"/>
                <w:kern w:val="0"/>
                <w:sz w:val="20"/>
                <w:szCs w:val="20"/>
                <w:lang w:eastAsia="zh-CN"/>
              </w:rPr>
              <w:t>检查</w:t>
            </w:r>
            <w:r>
              <w:rPr>
                <w:rFonts w:hint="default" w:ascii="Times New Roman" w:hAnsi="Times New Roman" w:eastAsia="黑体" w:cs="Times New Roman"/>
                <w:b w:val="0"/>
                <w:bCs w:val="0"/>
                <w:color w:val="auto"/>
                <w:kern w:val="0"/>
                <w:sz w:val="20"/>
                <w:szCs w:val="20"/>
              </w:rPr>
              <w:t>事项</w:t>
            </w:r>
          </w:p>
        </w:tc>
        <w:tc>
          <w:tcPr>
            <w:tcW w:w="413"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0"/>
                <w:szCs w:val="20"/>
              </w:rPr>
            </w:pPr>
            <w:r>
              <w:rPr>
                <w:rFonts w:hint="default" w:ascii="Times New Roman" w:hAnsi="Times New Roman" w:eastAsia="黑体" w:cs="Times New Roman"/>
                <w:b w:val="0"/>
                <w:bCs w:val="0"/>
                <w:color w:val="auto"/>
                <w:kern w:val="0"/>
                <w:sz w:val="20"/>
                <w:szCs w:val="20"/>
                <w:lang w:eastAsia="zh-CN"/>
              </w:rPr>
              <w:t>检查内容</w:t>
            </w:r>
          </w:p>
        </w:tc>
        <w:tc>
          <w:tcPr>
            <w:tcW w:w="1587"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0"/>
                <w:szCs w:val="20"/>
              </w:rPr>
            </w:pPr>
            <w:r>
              <w:rPr>
                <w:rFonts w:hint="default" w:ascii="Times New Roman" w:hAnsi="Times New Roman" w:eastAsia="黑体" w:cs="Times New Roman"/>
                <w:b w:val="0"/>
                <w:bCs w:val="0"/>
                <w:color w:val="auto"/>
                <w:kern w:val="0"/>
                <w:sz w:val="20"/>
                <w:szCs w:val="20"/>
                <w:lang w:eastAsia="zh-CN"/>
              </w:rPr>
              <w:t>检查依据</w:t>
            </w:r>
          </w:p>
        </w:tc>
        <w:tc>
          <w:tcPr>
            <w:tcW w:w="1980"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0"/>
                <w:szCs w:val="20"/>
                <w:lang w:val="en" w:eastAsia="zh-CN"/>
              </w:rPr>
            </w:pPr>
            <w:r>
              <w:rPr>
                <w:rFonts w:hint="default" w:ascii="Times New Roman" w:hAnsi="Times New Roman" w:eastAsia="黑体" w:cs="Times New Roman"/>
                <w:b w:val="0"/>
                <w:bCs w:val="0"/>
                <w:color w:val="auto"/>
                <w:kern w:val="0"/>
                <w:sz w:val="20"/>
                <w:szCs w:val="20"/>
                <w:lang w:val="en" w:eastAsia="zh-CN"/>
              </w:rPr>
              <w:t>法律责任</w:t>
            </w:r>
          </w:p>
        </w:tc>
        <w:tc>
          <w:tcPr>
            <w:tcW w:w="350"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leftChars="0" w:right="0" w:rightChars="0"/>
              <w:jc w:val="center"/>
              <w:rPr>
                <w:rFonts w:hint="default" w:ascii="Times New Roman" w:hAnsi="Times New Roman" w:eastAsia="黑体" w:cs="Times New Roman"/>
                <w:b w:val="0"/>
                <w:bCs w:val="0"/>
                <w:color w:val="auto"/>
                <w:kern w:val="0"/>
                <w:sz w:val="20"/>
                <w:szCs w:val="20"/>
                <w:lang w:val="en-US" w:eastAsia="zh-CN"/>
              </w:rPr>
            </w:pPr>
            <w:r>
              <w:rPr>
                <w:rFonts w:hint="default" w:ascii="Times New Roman" w:hAnsi="Times New Roman" w:eastAsia="黑体" w:cs="Times New Roman"/>
                <w:b w:val="0"/>
                <w:bCs w:val="0"/>
                <w:color w:val="auto"/>
                <w:kern w:val="0"/>
                <w:sz w:val="20"/>
                <w:szCs w:val="20"/>
                <w:lang w:val="en-US" w:eastAsia="zh-CN"/>
              </w:rPr>
              <w:t>事项</w:t>
            </w:r>
          </w:p>
          <w:p>
            <w:pPr>
              <w:keepNext w:val="0"/>
              <w:keepLines w:val="0"/>
              <w:widowControl/>
              <w:suppressLineNumbers w:val="0"/>
              <w:suppressAutoHyphens/>
              <w:bidi w:val="0"/>
              <w:adjustRightInd w:val="0"/>
              <w:snapToGrid w:val="0"/>
              <w:spacing w:before="0" w:beforeAutospacing="0" w:after="0" w:afterAutospacing="0"/>
              <w:ind w:left="0" w:leftChars="0" w:right="0" w:rightChars="0"/>
              <w:jc w:val="center"/>
              <w:rPr>
                <w:rFonts w:hint="default" w:ascii="Times New Roman" w:hAnsi="Times New Roman" w:eastAsia="黑体" w:cs="Times New Roman"/>
                <w:b w:val="0"/>
                <w:bCs w:val="0"/>
                <w:color w:val="auto"/>
                <w:kern w:val="0"/>
                <w:sz w:val="20"/>
                <w:szCs w:val="20"/>
                <w:lang w:val="en-US" w:eastAsia="zh-CN"/>
              </w:rPr>
            </w:pPr>
            <w:r>
              <w:rPr>
                <w:rFonts w:hint="default" w:ascii="Times New Roman" w:hAnsi="Times New Roman" w:eastAsia="黑体" w:cs="Times New Roman"/>
                <w:b w:val="0"/>
                <w:bCs w:val="0"/>
                <w:color w:val="auto"/>
                <w:kern w:val="0"/>
                <w:sz w:val="20"/>
                <w:szCs w:val="20"/>
                <w:lang w:val="en-US" w:eastAsia="zh-CN"/>
              </w:rPr>
              <w:t>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729" w:hRule="atLeast"/>
          <w:jc w:val="center"/>
        </w:trPr>
        <w:tc>
          <w:tcPr>
            <w:tcW w:w="222"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１</w:t>
            </w:r>
          </w:p>
        </w:tc>
        <w:tc>
          <w:tcPr>
            <w:tcW w:w="445"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经办机构内部控制制度建立和执行</w:t>
            </w:r>
            <w:r>
              <w:rPr>
                <w:rFonts w:hint="default" w:ascii="Times New Roman" w:hAnsi="Times New Roman" w:eastAsia="仿宋_GB2312" w:cs="Times New Roman"/>
                <w:b w:val="0"/>
                <w:bCs w:val="0"/>
                <w:color w:val="auto"/>
                <w:kern w:val="0"/>
                <w:sz w:val="20"/>
                <w:szCs w:val="20"/>
              </w:rPr>
              <w:t>情况</w:t>
            </w:r>
          </w:p>
        </w:tc>
        <w:tc>
          <w:tcPr>
            <w:tcW w:w="413" w:type="pct"/>
            <w:noWrap w:val="0"/>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是否依法建立和执行内部控制制度</w:t>
            </w:r>
          </w:p>
        </w:tc>
        <w:tc>
          <w:tcPr>
            <w:tcW w:w="1587" w:type="pct"/>
            <w:noWrap w:val="0"/>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《社会保险经办条例》第四十七条　人力资源社会保障行政部门、医疗保障行政部门按照各自职责对社会保险经办机构下列事项进行监督检查：</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（一）社会保险法律、法规、规章执行情况；</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（二）社会保险登记、待遇支付等经办情况；</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（三）社会保险基金管理情况；</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（四）与社会保险服务机构签订服务协议和服务协议履行情况；</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（五）法律、法规规定的其他事项。</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财政部门、审计机关按照各自职责，依法对社会保险经办机构的相关工作实施监督。</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p>
        </w:tc>
        <w:tc>
          <w:tcPr>
            <w:tcW w:w="1980" w:type="pct"/>
            <w:noWrap w:val="0"/>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1.</w:t>
            </w:r>
            <w:r>
              <w:rPr>
                <w:rFonts w:hint="default" w:ascii="Times New Roman" w:hAnsi="Times New Roman" w:eastAsia="仿宋_GB2312" w:cs="Times New Roman"/>
                <w:b w:val="0"/>
                <w:bCs w:val="0"/>
                <w:color w:val="auto"/>
                <w:kern w:val="0"/>
                <w:sz w:val="20"/>
                <w:szCs w:val="20"/>
                <w:lang w:val="en-US" w:eastAsia="zh-CN"/>
              </w:rPr>
              <w:t>《医疗保障基金使用监督管理条例》第三十六条　医疗保障经办机构有下列情形之一的，由医疗保障行政部门责令改正，对直接负责的主管人员和其他直接责任人员依法给予处分：</w:t>
            </w:r>
          </w:p>
          <w:p>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（一）未建立健全业务、财务、安全和风险管理制度……</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jc w:val="both"/>
              <w:textAlignment w:val="auto"/>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lang w:val="en-US" w:eastAsia="zh-CN"/>
              </w:rPr>
              <w:t>（三）未定期向社会公开医疗保障基金的收入、支出、结余等情况。</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2.</w:t>
            </w:r>
            <w:r>
              <w:rPr>
                <w:rFonts w:hint="default" w:ascii="Times New Roman" w:hAnsi="Times New Roman" w:eastAsia="仿宋_GB2312" w:cs="Times New Roman"/>
                <w:b w:val="0"/>
                <w:bCs w:val="0"/>
                <w:color w:val="auto"/>
                <w:kern w:val="0"/>
                <w:sz w:val="20"/>
                <w:szCs w:val="20"/>
                <w:lang w:val="en-US" w:eastAsia="zh-CN"/>
              </w:rPr>
              <w:t>《社会保险经办条例》第五十三条　社会保险经办机构及其工作人员有下列行为之一的，由人力资源社会保障行政部门、医疗保障行政部门按照各自职责责令改正；给社会保险基金、用人单位或者个人造成损失的，依法承担赔偿责任；对负有责任的领导人员和直接责任人员依法给予处分：</w:t>
            </w:r>
          </w:p>
          <w:p>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Times New Roman" w:hAnsi="Times New Roman" w:eastAsia="仿宋_GB2312" w:cs="Times New Roman"/>
                <w:b w:val="0"/>
                <w:bCs w:val="0"/>
                <w:color w:val="auto"/>
                <w:kern w:val="2"/>
                <w:sz w:val="20"/>
                <w:szCs w:val="20"/>
                <w:lang w:val="en-US" w:eastAsia="zh-CN" w:bidi="ar-SA"/>
              </w:rPr>
            </w:pPr>
            <w:r>
              <w:rPr>
                <w:rFonts w:hint="default" w:ascii="Times New Roman" w:hAnsi="Times New Roman" w:eastAsia="仿宋_GB2312" w:cs="Times New Roman"/>
                <w:b w:val="0"/>
                <w:bCs w:val="0"/>
                <w:color w:val="auto"/>
                <w:kern w:val="0"/>
                <w:sz w:val="20"/>
                <w:szCs w:val="20"/>
                <w:lang w:val="en-US" w:eastAsia="zh-CN"/>
              </w:rPr>
              <w:t>……（五）违反社会保险经办内部控制制度的。</w:t>
            </w:r>
          </w:p>
        </w:tc>
        <w:tc>
          <w:tcPr>
            <w:tcW w:w="350" w:type="pct"/>
            <w:noWrap w:val="0"/>
            <w:vAlign w:val="center"/>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color w:val="auto"/>
                <w:kern w:val="2"/>
                <w:sz w:val="20"/>
                <w:szCs w:val="20"/>
                <w:lang w:val="en-US" w:eastAsia="zh-CN" w:bidi="ar-SA"/>
              </w:rPr>
            </w:pPr>
            <w:r>
              <w:rPr>
                <w:rFonts w:hint="default" w:ascii="Times New Roman" w:hAnsi="Times New Roman" w:eastAsia="仿宋_GB2312" w:cs="Times New Roman"/>
                <w:b w:val="0"/>
                <w:bCs w:val="0"/>
                <w:color w:val="auto"/>
                <w:kern w:val="2"/>
                <w:sz w:val="20"/>
                <w:szCs w:val="20"/>
                <w:lang w:val="en-US" w:eastAsia="zh-CN" w:bidi="ar-SA"/>
              </w:rPr>
              <w:t>一般</w:t>
            </w:r>
          </w:p>
          <w:p>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color w:val="auto"/>
                <w:kern w:val="2"/>
                <w:sz w:val="20"/>
                <w:szCs w:val="20"/>
                <w:lang w:val="en-US" w:eastAsia="zh-CN" w:bidi="ar-SA"/>
              </w:rPr>
            </w:pPr>
            <w:r>
              <w:rPr>
                <w:rFonts w:hint="default" w:ascii="Times New Roman" w:hAnsi="Times New Roman" w:eastAsia="仿宋_GB2312" w:cs="Times New Roman"/>
                <w:b w:val="0"/>
                <w:bCs w:val="0"/>
                <w:color w:val="auto"/>
                <w:kern w:val="2"/>
                <w:sz w:val="20"/>
                <w:szCs w:val="20"/>
                <w:lang w:val="en-US" w:eastAsia="zh-CN" w:bidi="ar-SA"/>
              </w:rPr>
              <w:t>检查</w:t>
            </w:r>
          </w:p>
          <w:p>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color w:val="auto"/>
                <w:kern w:val="2"/>
                <w:sz w:val="20"/>
                <w:szCs w:val="20"/>
                <w:lang w:val="en-US" w:eastAsia="zh-CN" w:bidi="ar-SA"/>
              </w:rPr>
            </w:pPr>
            <w:r>
              <w:rPr>
                <w:rFonts w:hint="default" w:ascii="Times New Roman" w:hAnsi="Times New Roman" w:eastAsia="仿宋_GB2312" w:cs="Times New Roman"/>
                <w:b w:val="0"/>
                <w:bCs w:val="0"/>
                <w:color w:val="auto"/>
                <w:kern w:val="2"/>
                <w:sz w:val="20"/>
                <w:szCs w:val="20"/>
                <w:lang w:val="en-US" w:eastAsia="zh-CN" w:bidi="ar-SA"/>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837" w:hRule="atLeast"/>
          <w:jc w:val="center"/>
        </w:trPr>
        <w:tc>
          <w:tcPr>
            <w:tcW w:w="222"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２</w:t>
            </w:r>
          </w:p>
        </w:tc>
        <w:tc>
          <w:tcPr>
            <w:tcW w:w="445" w:type="pct"/>
            <w:noWrap w:val="0"/>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 w:eastAsia="zh-CN"/>
              </w:rPr>
            </w:pPr>
            <w:r>
              <w:rPr>
                <w:rFonts w:hint="default" w:ascii="Times New Roman" w:hAnsi="Times New Roman" w:eastAsia="仿宋_GB2312" w:cs="Times New Roman"/>
                <w:b w:val="0"/>
                <w:bCs w:val="0"/>
                <w:color w:val="auto"/>
                <w:kern w:val="0"/>
                <w:sz w:val="20"/>
                <w:szCs w:val="20"/>
                <w:lang w:val="en-US" w:eastAsia="zh-CN"/>
              </w:rPr>
              <w:t>公开医疗保障基金相关情况</w:t>
            </w:r>
          </w:p>
        </w:tc>
        <w:tc>
          <w:tcPr>
            <w:tcW w:w="413" w:type="pct"/>
            <w:noWrap w:val="0"/>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是否定期向社会公开医疗保障基金收入、支出、结余等情况</w:t>
            </w:r>
          </w:p>
        </w:tc>
        <w:tc>
          <w:tcPr>
            <w:tcW w:w="1587" w:type="pct"/>
            <w:noWrap w:val="0"/>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《社会保险经办条例》第四十七条　人力资源社会保障行政部门、医疗保障行政部门按照各自职责对社会保险经办机构下列事项进行监督检查：</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（一）社会保险法律、法规、规章执行情况；</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（二）社会保险登记、待遇支付等经办情况；</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（三）社会保险基金管理情况；</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（四）与社会保险服务机构签订服务协议和服务协议履行情况；</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（五）法律、法规规定的其他事项。</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宋体" w:cs="Times New Roman"/>
                <w:b w:val="0"/>
                <w:bCs w:val="0"/>
                <w:color w:val="auto"/>
                <w:kern w:val="0"/>
                <w:sz w:val="20"/>
                <w:szCs w:val="20"/>
                <w:lang w:val="en" w:eastAsia="zh-CN"/>
              </w:rPr>
            </w:pPr>
            <w:r>
              <w:rPr>
                <w:rFonts w:hint="default" w:ascii="Times New Roman" w:hAnsi="Times New Roman" w:eastAsia="仿宋_GB2312" w:cs="Times New Roman"/>
                <w:b w:val="0"/>
                <w:bCs w:val="0"/>
                <w:color w:val="auto"/>
                <w:kern w:val="0"/>
                <w:sz w:val="20"/>
                <w:szCs w:val="20"/>
                <w:lang w:val="en-US" w:eastAsia="zh-CN"/>
              </w:rPr>
              <w:t>财政部门、审计机关按照各自职责，依法对社会保险经办机构的相关工作实施监督。</w:t>
            </w:r>
          </w:p>
        </w:tc>
        <w:tc>
          <w:tcPr>
            <w:tcW w:w="1980" w:type="pct"/>
            <w:noWrap w:val="0"/>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《医疗保障基金使用监督管理条例》第三十六条　医疗保障经办机构有下列情形之一的，由医疗保障行政部门责令改正，对直接负责的主管人员和其他直接责任人员依法给予处分：</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（一）未建立健全业务、财务、安全和风险管理制度；</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（二）未履行服务协议管理、费用监控、基金拨付、待遇审核及支付等职责；</w:t>
            </w:r>
          </w:p>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 w:eastAsia="zh-CN"/>
              </w:rPr>
            </w:pPr>
            <w:r>
              <w:rPr>
                <w:rFonts w:hint="default" w:ascii="Times New Roman" w:hAnsi="Times New Roman" w:eastAsia="仿宋_GB2312" w:cs="Times New Roman"/>
                <w:b w:val="0"/>
                <w:bCs w:val="0"/>
                <w:color w:val="auto"/>
                <w:kern w:val="0"/>
                <w:sz w:val="20"/>
                <w:szCs w:val="20"/>
                <w:lang w:val="en-US" w:eastAsia="zh-CN"/>
              </w:rPr>
              <w:t>（三）未定期向社会公开医疗保障基金的收入、支出、结余等情况。</w:t>
            </w:r>
          </w:p>
        </w:tc>
        <w:tc>
          <w:tcPr>
            <w:tcW w:w="350" w:type="pct"/>
            <w:noWrap w:val="0"/>
            <w:vAlign w:val="center"/>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color w:val="auto"/>
                <w:kern w:val="2"/>
                <w:sz w:val="20"/>
                <w:szCs w:val="20"/>
                <w:lang w:val="en-US" w:eastAsia="zh-CN" w:bidi="ar-SA"/>
              </w:rPr>
            </w:pPr>
            <w:r>
              <w:rPr>
                <w:rFonts w:hint="default" w:ascii="Times New Roman" w:hAnsi="Times New Roman" w:eastAsia="仿宋_GB2312" w:cs="Times New Roman"/>
                <w:b w:val="0"/>
                <w:bCs w:val="0"/>
                <w:color w:val="auto"/>
                <w:kern w:val="2"/>
                <w:sz w:val="20"/>
                <w:szCs w:val="20"/>
                <w:lang w:val="en-US" w:eastAsia="zh-CN" w:bidi="ar-SA"/>
              </w:rPr>
              <w:t>一般</w:t>
            </w:r>
          </w:p>
          <w:p>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color w:val="auto"/>
                <w:kern w:val="2"/>
                <w:sz w:val="20"/>
                <w:szCs w:val="20"/>
                <w:lang w:val="en-US" w:eastAsia="zh-CN" w:bidi="ar-SA"/>
              </w:rPr>
            </w:pPr>
            <w:r>
              <w:rPr>
                <w:rFonts w:hint="default" w:ascii="Times New Roman" w:hAnsi="Times New Roman" w:eastAsia="仿宋_GB2312" w:cs="Times New Roman"/>
                <w:b w:val="0"/>
                <w:bCs w:val="0"/>
                <w:color w:val="auto"/>
                <w:kern w:val="2"/>
                <w:sz w:val="20"/>
                <w:szCs w:val="20"/>
                <w:lang w:val="en-US" w:eastAsia="zh-CN" w:bidi="ar-SA"/>
              </w:rPr>
              <w:t>检查</w:t>
            </w:r>
          </w:p>
          <w:p>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color w:val="auto"/>
                <w:kern w:val="2"/>
                <w:sz w:val="20"/>
                <w:szCs w:val="20"/>
                <w:lang w:val="en-US" w:eastAsia="zh-CN" w:bidi="ar-SA"/>
              </w:rPr>
            </w:pPr>
            <w:r>
              <w:rPr>
                <w:rFonts w:hint="default" w:ascii="Times New Roman" w:hAnsi="Times New Roman" w:eastAsia="仿宋_GB2312" w:cs="Times New Roman"/>
                <w:b w:val="0"/>
                <w:bCs w:val="0"/>
                <w:color w:val="auto"/>
                <w:kern w:val="2"/>
                <w:sz w:val="20"/>
                <w:szCs w:val="20"/>
                <w:lang w:val="en-US" w:eastAsia="zh-CN" w:bidi="ar-SA"/>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878" w:hRule="atLeast"/>
          <w:jc w:val="center"/>
        </w:trPr>
        <w:tc>
          <w:tcPr>
            <w:tcW w:w="222" w:type="pct"/>
            <w:vMerge w:val="restart"/>
            <w:noWrap w:val="0"/>
            <w:vAlign w:val="center"/>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３</w:t>
            </w:r>
          </w:p>
        </w:tc>
        <w:tc>
          <w:tcPr>
            <w:tcW w:w="445" w:type="pct"/>
            <w:vMerge w:val="restart"/>
            <w:noWrap w:val="0"/>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医疗保障基金使用情况</w:t>
            </w:r>
          </w:p>
        </w:tc>
        <w:tc>
          <w:tcPr>
            <w:tcW w:w="413" w:type="pct"/>
            <w:noWrap w:val="0"/>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3.1</w:t>
            </w:r>
            <w:r>
              <w:rPr>
                <w:rFonts w:hint="default" w:ascii="Times New Roman" w:hAnsi="Times New Roman" w:eastAsia="仿宋_GB2312" w:cs="Times New Roman"/>
                <w:b w:val="0"/>
                <w:bCs w:val="0"/>
                <w:color w:val="auto"/>
                <w:kern w:val="0"/>
                <w:sz w:val="20"/>
                <w:szCs w:val="20"/>
                <w:lang w:val="en" w:eastAsia="zh-CN"/>
              </w:rPr>
              <w:t>是否依法履行服务协议管理、费用监控、基金拨付、待遇审核及支付等经办职责</w:t>
            </w:r>
          </w:p>
        </w:tc>
        <w:tc>
          <w:tcPr>
            <w:tcW w:w="1587" w:type="pct"/>
            <w:noWrap w:val="0"/>
            <w:vAlign w:val="center"/>
          </w:tcPr>
          <w:p>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1.</w:t>
            </w:r>
            <w:r>
              <w:rPr>
                <w:rFonts w:hint="default" w:ascii="Times New Roman" w:hAnsi="Times New Roman" w:eastAsia="仿宋_GB2312" w:cs="Times New Roman"/>
                <w:b w:val="0"/>
                <w:bCs w:val="0"/>
                <w:color w:val="auto"/>
                <w:kern w:val="0"/>
                <w:sz w:val="20"/>
                <w:szCs w:val="20"/>
                <w:lang w:val="en-US" w:eastAsia="zh-CN"/>
              </w:rPr>
              <w:t>《社会保险经办条例》第四十七条　人力资源社会保障行政部门、医疗保障行政部门按照各自职责对社会保险经办机构下列事项进行监督检查：</w:t>
            </w:r>
          </w:p>
          <w:p>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（一）社会保险法律、法规、规章执行情况；</w:t>
            </w:r>
          </w:p>
          <w:p>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（二）社会保险登记、待遇支付等经办情况；</w:t>
            </w:r>
          </w:p>
          <w:p>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（三）社会保险基金管理情况；</w:t>
            </w:r>
          </w:p>
          <w:p>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（四）与社会保险服务机构签订服务协议和服务协议履行情况；</w:t>
            </w:r>
          </w:p>
          <w:p>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（五）法律、法规规定的其他事项。</w:t>
            </w:r>
          </w:p>
          <w:p>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财政部门、审计机关按照各自职责，依法对社会保险经办机构的相关工作实施监督。</w:t>
            </w:r>
          </w:p>
          <w:p>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2.</w:t>
            </w:r>
            <w:r>
              <w:rPr>
                <w:rFonts w:hint="default" w:ascii="Times New Roman" w:hAnsi="Times New Roman" w:eastAsia="仿宋_GB2312" w:cs="Times New Roman"/>
                <w:b w:val="0"/>
                <w:bCs w:val="0"/>
                <w:color w:val="auto"/>
                <w:kern w:val="0"/>
                <w:sz w:val="20"/>
                <w:szCs w:val="20"/>
                <w:lang w:val="en-US" w:eastAsia="zh-CN"/>
              </w:rPr>
              <w:t>《医疗保障基金使用监督管理条例》第二十二条第二款　医疗保障行政部门应当加强对纳入医疗保障基金支付范围的医疗服务行为和医疗费用的监督，规范医疗保障经办业务，依法查处违法使用医疗保障基金的行为。</w:t>
            </w:r>
          </w:p>
        </w:tc>
        <w:tc>
          <w:tcPr>
            <w:tcW w:w="1980" w:type="pct"/>
            <w:noWrap w:val="0"/>
            <w:vAlign w:val="center"/>
          </w:tcPr>
          <w:p>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《中华人民共和国社会保险法》第八十九条　社会保险经办机构及其工作人员有下列行为之一的，由社会保险行政部门责令改正；给社会保险基金、用人单位或者个人造成损失的，依法承担赔偿责任；对直接负责的主管人员和其他直接责任人员依法给予处分:</w:t>
            </w:r>
          </w:p>
          <w:p>
            <w:pPr>
              <w:keepNext w:val="0"/>
              <w:keepLines w:val="0"/>
              <w:pageBreakBefore w:val="0"/>
              <w:numPr>
                <w:ilvl w:val="0"/>
                <w:numId w:val="1"/>
              </w:numPr>
              <w:suppressLineNumbers w:val="0"/>
              <w:suppressAutoHyphens/>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未履行社会保险法定职责的；</w:t>
            </w:r>
          </w:p>
          <w:p>
            <w:pPr>
              <w:keepNext w:val="0"/>
              <w:keepLines w:val="0"/>
              <w:pageBreakBefore w:val="0"/>
              <w:numPr>
                <w:ilvl w:val="0"/>
                <w:numId w:val="1"/>
              </w:numPr>
              <w:suppressLineNumbers w:val="0"/>
              <w:suppressAutoHyphens/>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未将社会保险基金存入财政专户的；</w:t>
            </w:r>
          </w:p>
          <w:p>
            <w:pPr>
              <w:keepNext w:val="0"/>
              <w:keepLines w:val="0"/>
              <w:pageBreakBefore w:val="0"/>
              <w:numPr>
                <w:ilvl w:val="0"/>
                <w:numId w:val="1"/>
              </w:numPr>
              <w:suppressLineNumbers w:val="0"/>
              <w:suppressAutoHyphens/>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克扣或者拒不按时支付社会保险待遇的；</w:t>
            </w:r>
          </w:p>
          <w:p>
            <w:pPr>
              <w:keepNext w:val="0"/>
              <w:keepLines w:val="0"/>
              <w:pageBreakBefore w:val="0"/>
              <w:numPr>
                <w:ilvl w:val="0"/>
                <w:numId w:val="1"/>
              </w:numPr>
              <w:suppressLineNumbers w:val="0"/>
              <w:suppressAutoHyphens/>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丢失或者篡改缴费记录、享受社会保险待遇记录等社会保险数据、个人权益记录的；</w:t>
            </w:r>
          </w:p>
          <w:p>
            <w:pPr>
              <w:keepNext w:val="0"/>
              <w:keepLines w:val="0"/>
              <w:pageBreakBefore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（五）有违反社会保险法律、法规的其他行为的。</w:t>
            </w:r>
          </w:p>
        </w:tc>
        <w:tc>
          <w:tcPr>
            <w:tcW w:w="350" w:type="pct"/>
            <w:vMerge w:val="restart"/>
            <w:noWrap w:val="0"/>
            <w:vAlign w:val="center"/>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color w:val="auto"/>
                <w:kern w:val="2"/>
                <w:sz w:val="18"/>
                <w:szCs w:val="18"/>
                <w:lang w:val="en-US" w:eastAsia="zh-CN" w:bidi="ar-SA"/>
              </w:rPr>
            </w:pPr>
            <w:r>
              <w:rPr>
                <w:rFonts w:hint="default" w:ascii="Times New Roman" w:hAnsi="Times New Roman" w:eastAsia="仿宋_GB2312" w:cs="Times New Roman"/>
                <w:b w:val="0"/>
                <w:bCs w:val="0"/>
                <w:color w:val="auto"/>
                <w:kern w:val="2"/>
                <w:sz w:val="18"/>
                <w:szCs w:val="18"/>
                <w:lang w:val="en-US" w:eastAsia="zh-CN" w:bidi="ar-SA"/>
              </w:rPr>
              <w:t>一般</w:t>
            </w:r>
          </w:p>
          <w:p>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color w:val="auto"/>
                <w:kern w:val="2"/>
                <w:sz w:val="18"/>
                <w:szCs w:val="18"/>
                <w:lang w:val="en-US" w:eastAsia="zh-CN" w:bidi="ar-SA"/>
              </w:rPr>
            </w:pPr>
            <w:r>
              <w:rPr>
                <w:rFonts w:hint="default" w:ascii="Times New Roman" w:hAnsi="Times New Roman" w:eastAsia="仿宋_GB2312" w:cs="Times New Roman"/>
                <w:b w:val="0"/>
                <w:bCs w:val="0"/>
                <w:color w:val="auto"/>
                <w:kern w:val="2"/>
                <w:sz w:val="18"/>
                <w:szCs w:val="18"/>
                <w:lang w:val="en-US" w:eastAsia="zh-CN" w:bidi="ar-SA"/>
              </w:rPr>
              <w:t>检查</w:t>
            </w:r>
          </w:p>
          <w:p>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color w:val="auto"/>
                <w:kern w:val="0"/>
                <w:sz w:val="18"/>
                <w:szCs w:val="18"/>
                <w:lang w:val="en-US" w:eastAsia="zh-CN"/>
              </w:rPr>
            </w:pPr>
            <w:r>
              <w:rPr>
                <w:rFonts w:hint="default" w:ascii="Times New Roman" w:hAnsi="Times New Roman" w:eastAsia="仿宋_GB2312" w:cs="Times New Roman"/>
                <w:b w:val="0"/>
                <w:bCs w:val="0"/>
                <w:color w:val="auto"/>
                <w:kern w:val="2"/>
                <w:sz w:val="18"/>
                <w:szCs w:val="18"/>
                <w:lang w:val="en-US" w:eastAsia="zh-CN" w:bidi="ar-SA"/>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922" w:hRule="atLeast"/>
          <w:jc w:val="center"/>
        </w:trPr>
        <w:tc>
          <w:tcPr>
            <w:tcW w:w="222" w:type="pct"/>
            <w:vMerge w:val="continue"/>
            <w:noWrap w:val="0"/>
            <w:vAlign w:val="center"/>
          </w:tcPr>
          <w:p>
            <w:pPr>
              <w:keepNext w:val="0"/>
              <w:keepLines w:val="0"/>
              <w:widowControl w:val="0"/>
              <w:suppressLineNumbers w:val="0"/>
              <w:spacing w:before="0" w:beforeAutospacing="0" w:after="0" w:afterAutospacing="0"/>
              <w:ind w:left="0" w:leftChars="0" w:right="0" w:rightChars="0" w:firstLine="0" w:firstLineChars="0"/>
              <w:jc w:val="both"/>
              <w:rPr>
                <w:rFonts w:hint="default" w:ascii="Times New Roman" w:hAnsi="Times New Roman" w:eastAsia="仿宋_GB2312" w:cs="Times New Roman"/>
                <w:b w:val="0"/>
                <w:bCs w:val="0"/>
                <w:color w:val="auto"/>
                <w:kern w:val="0"/>
                <w:sz w:val="20"/>
                <w:szCs w:val="20"/>
                <w:lang w:val="en-US" w:eastAsia="zh-CN"/>
              </w:rPr>
            </w:pPr>
          </w:p>
        </w:tc>
        <w:tc>
          <w:tcPr>
            <w:tcW w:w="445" w:type="pct"/>
            <w:vMerge w:val="continue"/>
            <w:noWrap w:val="0"/>
            <w:vAlign w:val="center"/>
          </w:tcPr>
          <w:p>
            <w:pPr>
              <w:keepNext w:val="0"/>
              <w:keepLines w:val="0"/>
              <w:widowControl w:val="0"/>
              <w:suppressLineNumbers w:val="0"/>
              <w:spacing w:before="0" w:beforeAutospacing="0" w:after="0" w:afterAutospacing="0"/>
              <w:ind w:left="0" w:leftChars="0" w:right="0" w:rightChars="0" w:firstLine="0" w:firstLineChars="0"/>
              <w:jc w:val="both"/>
              <w:rPr>
                <w:rFonts w:hint="default" w:ascii="Times New Roman" w:hAnsi="Times New Roman" w:eastAsia="仿宋_GB2312" w:cs="Times New Roman"/>
                <w:b w:val="0"/>
                <w:bCs w:val="0"/>
                <w:color w:val="auto"/>
                <w:kern w:val="0"/>
                <w:sz w:val="20"/>
                <w:szCs w:val="20"/>
                <w:lang w:val="en-US" w:eastAsia="zh-CN"/>
              </w:rPr>
            </w:pPr>
          </w:p>
        </w:tc>
        <w:tc>
          <w:tcPr>
            <w:tcW w:w="413" w:type="pct"/>
            <w:noWrap w:val="0"/>
            <w:vAlign w:val="center"/>
          </w:tcPr>
          <w:p>
            <w:pPr>
              <w:keepNext w:val="0"/>
              <w:keepLines w:val="0"/>
              <w:suppressLineNumbers w:val="0"/>
              <w:suppressAutoHyphens/>
              <w:bidi w:val="0"/>
              <w:spacing w:before="0" w:beforeAutospacing="0" w:after="0" w:afterAutospacing="0" w:line="240" w:lineRule="auto"/>
              <w:ind w:left="0" w:right="0"/>
              <w:jc w:val="both"/>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3.2是否存在骗取医疗保障基金的行为</w:t>
            </w:r>
          </w:p>
        </w:tc>
        <w:tc>
          <w:tcPr>
            <w:tcW w:w="1587" w:type="pct"/>
            <w:noWrap w:val="0"/>
            <w:vAlign w:val="center"/>
          </w:tcPr>
          <w:p>
            <w:pPr>
              <w:pStyle w:val="15"/>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《医疗保障基金使用监督</w:t>
            </w:r>
            <w:r>
              <w:rPr>
                <w:rFonts w:hint="default" w:ascii="Times New Roman" w:hAnsi="Times New Roman" w:eastAsia="仿宋_GB2312" w:cs="Times New Roman"/>
                <w:b w:val="0"/>
                <w:bCs w:val="0"/>
                <w:color w:val="auto"/>
                <w:kern w:val="0"/>
                <w:sz w:val="20"/>
                <w:szCs w:val="20"/>
                <w:lang w:val="en-US" w:eastAsia="zh-CN" w:bidi="ar-SA"/>
              </w:rPr>
              <w:t>管理条例》第二十二条第二款　医疗保障行政部门应当加强对纳入医疗保障基金支付范围的医疗服务行为和医疗费用的监督，规范医疗保障经办业务，依法查处违法使用医疗保障基金的行为。</w:t>
            </w:r>
          </w:p>
        </w:tc>
        <w:tc>
          <w:tcPr>
            <w:tcW w:w="1980" w:type="pct"/>
            <w:noWrap w:val="0"/>
            <w:vAlign w:val="center"/>
          </w:tcPr>
          <w:p>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bidi="ar-SA"/>
              </w:rPr>
              <w:t>1.</w:t>
            </w:r>
            <w:r>
              <w:rPr>
                <w:rFonts w:hint="default" w:ascii="Times New Roman" w:hAnsi="Times New Roman" w:eastAsia="仿宋_GB2312" w:cs="Times New Roman"/>
                <w:b w:val="0"/>
                <w:bCs w:val="0"/>
                <w:color w:val="auto"/>
                <w:kern w:val="0"/>
                <w:sz w:val="20"/>
                <w:szCs w:val="20"/>
                <w:lang w:val="en-US" w:eastAsia="zh-CN" w:bidi="ar-SA"/>
              </w:rPr>
              <w:t>《</w:t>
            </w:r>
            <w:r>
              <w:rPr>
                <w:rFonts w:hint="default" w:ascii="Times New Roman" w:hAnsi="Times New Roman" w:eastAsia="仿宋_GB2312" w:cs="Times New Roman"/>
                <w:b w:val="0"/>
                <w:bCs w:val="0"/>
                <w:color w:val="auto"/>
                <w:kern w:val="0"/>
                <w:sz w:val="20"/>
                <w:szCs w:val="20"/>
                <w:lang w:val="en-US" w:eastAsia="zh-CN"/>
              </w:rPr>
              <w:t>中华人民共和国社会保险法》第八十七条 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2.</w:t>
            </w:r>
            <w:r>
              <w:rPr>
                <w:rFonts w:hint="default" w:ascii="Times New Roman" w:hAnsi="Times New Roman" w:eastAsia="仿宋_GB2312" w:cs="Times New Roman"/>
                <w:b w:val="0"/>
                <w:bCs w:val="0"/>
                <w:color w:val="auto"/>
                <w:kern w:val="0"/>
                <w:sz w:val="20"/>
                <w:szCs w:val="20"/>
                <w:lang w:val="en-US" w:eastAsia="zh-CN"/>
              </w:rPr>
              <w:t>《医疗保障基金使用监督管理条例》第三十七条　医疗保障经办机构通过伪造、变造、隐匿、涂改、销毁医学文书、医学证明、会计凭证、电子信息等有关资料或者虚构医药服务项目等方式，骗取医疗保障基金支出的，由医疗保障行政部门责令退回，处骗取金额2倍以上5倍以下的罚款，对直接负责的主管人员和其他直接责任人员依法给予处分。</w:t>
            </w:r>
          </w:p>
        </w:tc>
        <w:tc>
          <w:tcPr>
            <w:tcW w:w="350" w:type="pct"/>
            <w:vMerge w:val="continue"/>
            <w:noWrap w:val="0"/>
            <w:vAlign w:val="center"/>
          </w:tcPr>
          <w:p>
            <w:pPr>
              <w:keepNext w:val="0"/>
              <w:keepLines w:val="0"/>
              <w:widowControl w:val="0"/>
              <w:suppressLineNumbers w:val="0"/>
              <w:spacing w:before="0" w:beforeAutospacing="0" w:after="0" w:afterAutospacing="0"/>
              <w:ind w:left="0" w:leftChars="0" w:right="0" w:rightChars="0" w:firstLine="0" w:firstLineChars="0"/>
              <w:jc w:val="both"/>
              <w:rPr>
                <w:rFonts w:hint="default" w:ascii="Times New Roman" w:hAnsi="Times New Roman" w:eastAsia="仿宋_GB2312" w:cs="Times New Roman"/>
                <w:b w:val="0"/>
                <w:bCs w:val="0"/>
                <w:color w:val="auto"/>
                <w:kern w:val="0"/>
                <w:sz w:val="18"/>
                <w:szCs w:val="18"/>
                <w:lang w:val="en-US" w:eastAsia="zh-CN"/>
              </w:rPr>
            </w:pPr>
          </w:p>
        </w:tc>
      </w:tr>
    </w:tbl>
    <w:p>
      <w:pPr>
        <w:rPr>
          <w:rStyle w:val="47"/>
          <w:rFonts w:hint="default" w:ascii="Times New Roman" w:hAnsi="Times New Roman" w:cs="Times New Roman"/>
          <w:b w:val="0"/>
          <w:bCs w:val="0"/>
          <w:color w:val="auto"/>
          <w:sz w:val="18"/>
          <w:szCs w:val="18"/>
        </w:rPr>
      </w:pPr>
      <w:r>
        <w:rPr>
          <w:rStyle w:val="47"/>
          <w:rFonts w:hint="default" w:ascii="Times New Roman" w:hAnsi="Times New Roman" w:cs="Times New Roman"/>
          <w:b w:val="0"/>
          <w:bCs w:val="0"/>
          <w:color w:val="auto"/>
          <w:sz w:val="18"/>
          <w:szCs w:val="18"/>
        </w:rPr>
        <w:br w:type="page"/>
      </w:r>
    </w:p>
    <w:p>
      <w:pPr>
        <w:pStyle w:val="3"/>
        <w:spacing w:line="240" w:lineRule="auto"/>
        <w:jc w:val="center"/>
        <w:rPr>
          <w:rFonts w:hint="default" w:ascii="Times New Roman" w:hAnsi="Times New Roman" w:eastAsia="方正小标宋简体" w:cs="Times New Roman"/>
          <w:b w:val="0"/>
          <w:bCs w:val="0"/>
          <w:color w:val="auto"/>
          <w:sz w:val="36"/>
          <w:szCs w:val="36"/>
        </w:rPr>
      </w:pPr>
      <w:bookmarkStart w:id="6" w:name="_Toc1267315027"/>
      <w:r>
        <w:rPr>
          <w:rFonts w:hint="default" w:ascii="Times New Roman" w:hAnsi="Times New Roman" w:eastAsia="方正小标宋简体" w:cs="Times New Roman"/>
          <w:b w:val="0"/>
          <w:bCs w:val="0"/>
          <w:color w:val="auto"/>
          <w:sz w:val="36"/>
          <w:szCs w:val="36"/>
          <w:lang w:eastAsia="zh-CN"/>
        </w:rPr>
        <w:t>六、其他</w:t>
      </w:r>
      <w:r>
        <w:rPr>
          <w:rFonts w:hint="default" w:ascii="Times New Roman" w:hAnsi="Times New Roman" w:eastAsia="方正小标宋简体" w:cs="Times New Roman"/>
          <w:b w:val="0"/>
          <w:bCs w:val="0"/>
          <w:color w:val="auto"/>
          <w:sz w:val="36"/>
          <w:szCs w:val="36"/>
        </w:rPr>
        <w:t>检查事项</w:t>
      </w:r>
      <w:bookmarkEnd w:id="6"/>
    </w:p>
    <w:tbl>
      <w:tblPr>
        <w:tblStyle w:val="16"/>
        <w:tblW w:w="4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647"/>
        <w:gridCol w:w="1277"/>
        <w:gridCol w:w="1185"/>
        <w:gridCol w:w="4177"/>
        <w:gridCol w:w="6021"/>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27" w:hRule="atLeast"/>
          <w:tblHeader/>
          <w:jc w:val="center"/>
        </w:trPr>
        <w:tc>
          <w:tcPr>
            <w:tcW w:w="226"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0"/>
                <w:szCs w:val="20"/>
              </w:rPr>
            </w:pPr>
            <w:r>
              <w:rPr>
                <w:rFonts w:hint="default" w:ascii="Times New Roman" w:hAnsi="Times New Roman" w:eastAsia="黑体" w:cs="Times New Roman"/>
                <w:b w:val="0"/>
                <w:bCs w:val="0"/>
                <w:color w:val="auto"/>
                <w:kern w:val="0"/>
                <w:sz w:val="20"/>
                <w:szCs w:val="20"/>
              </w:rPr>
              <w:t>序号</w:t>
            </w:r>
          </w:p>
        </w:tc>
        <w:tc>
          <w:tcPr>
            <w:tcW w:w="446"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0"/>
                <w:szCs w:val="20"/>
              </w:rPr>
            </w:pPr>
            <w:r>
              <w:rPr>
                <w:rFonts w:hint="default" w:ascii="Times New Roman" w:hAnsi="Times New Roman" w:eastAsia="黑体" w:cs="Times New Roman"/>
                <w:b w:val="0"/>
                <w:bCs w:val="0"/>
                <w:color w:val="auto"/>
                <w:kern w:val="0"/>
                <w:sz w:val="20"/>
                <w:szCs w:val="20"/>
                <w:lang w:eastAsia="zh-CN"/>
              </w:rPr>
              <w:t>检查</w:t>
            </w:r>
            <w:r>
              <w:rPr>
                <w:rFonts w:hint="default" w:ascii="Times New Roman" w:hAnsi="Times New Roman" w:eastAsia="黑体" w:cs="Times New Roman"/>
                <w:b w:val="0"/>
                <w:bCs w:val="0"/>
                <w:color w:val="auto"/>
                <w:kern w:val="0"/>
                <w:sz w:val="20"/>
                <w:szCs w:val="20"/>
              </w:rPr>
              <w:t>事项</w:t>
            </w:r>
          </w:p>
        </w:tc>
        <w:tc>
          <w:tcPr>
            <w:tcW w:w="414"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0"/>
                <w:szCs w:val="20"/>
              </w:rPr>
            </w:pPr>
            <w:r>
              <w:rPr>
                <w:rFonts w:hint="default" w:ascii="Times New Roman" w:hAnsi="Times New Roman" w:eastAsia="黑体" w:cs="Times New Roman"/>
                <w:b w:val="0"/>
                <w:bCs w:val="0"/>
                <w:color w:val="auto"/>
                <w:kern w:val="0"/>
                <w:sz w:val="20"/>
                <w:szCs w:val="20"/>
                <w:lang w:eastAsia="zh-CN"/>
              </w:rPr>
              <w:t>检查内容</w:t>
            </w:r>
          </w:p>
        </w:tc>
        <w:tc>
          <w:tcPr>
            <w:tcW w:w="1459"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0"/>
                <w:szCs w:val="20"/>
              </w:rPr>
            </w:pPr>
            <w:r>
              <w:rPr>
                <w:rFonts w:hint="default" w:ascii="Times New Roman" w:hAnsi="Times New Roman" w:eastAsia="黑体" w:cs="Times New Roman"/>
                <w:b w:val="0"/>
                <w:bCs w:val="0"/>
                <w:color w:val="auto"/>
                <w:kern w:val="0"/>
                <w:sz w:val="20"/>
                <w:szCs w:val="20"/>
                <w:lang w:eastAsia="zh-CN"/>
              </w:rPr>
              <w:t>检查依据</w:t>
            </w:r>
          </w:p>
        </w:tc>
        <w:tc>
          <w:tcPr>
            <w:tcW w:w="2103"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黑体" w:cs="Times New Roman"/>
                <w:b w:val="0"/>
                <w:bCs w:val="0"/>
                <w:color w:val="auto"/>
                <w:kern w:val="0"/>
                <w:sz w:val="20"/>
                <w:szCs w:val="20"/>
                <w:lang w:val="en" w:eastAsia="zh-CN"/>
              </w:rPr>
            </w:pPr>
            <w:r>
              <w:rPr>
                <w:rFonts w:hint="default" w:ascii="Times New Roman" w:hAnsi="Times New Roman" w:eastAsia="黑体" w:cs="Times New Roman"/>
                <w:b w:val="0"/>
                <w:bCs w:val="0"/>
                <w:color w:val="auto"/>
                <w:kern w:val="0"/>
                <w:sz w:val="20"/>
                <w:szCs w:val="20"/>
                <w:lang w:val="en" w:eastAsia="zh-CN"/>
              </w:rPr>
              <w:t>法律责任</w:t>
            </w:r>
          </w:p>
        </w:tc>
        <w:tc>
          <w:tcPr>
            <w:tcW w:w="350"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leftChars="0" w:right="0" w:rightChars="0"/>
              <w:jc w:val="center"/>
              <w:rPr>
                <w:rFonts w:hint="default" w:ascii="Times New Roman" w:hAnsi="Times New Roman" w:eastAsia="黑体" w:cs="Times New Roman"/>
                <w:b w:val="0"/>
                <w:bCs w:val="0"/>
                <w:color w:val="auto"/>
                <w:kern w:val="0"/>
                <w:sz w:val="20"/>
                <w:szCs w:val="20"/>
                <w:lang w:val="en-US" w:eastAsia="zh-CN"/>
              </w:rPr>
            </w:pPr>
            <w:r>
              <w:rPr>
                <w:rFonts w:hint="default" w:ascii="Times New Roman" w:hAnsi="Times New Roman" w:eastAsia="黑体" w:cs="Times New Roman"/>
                <w:b w:val="0"/>
                <w:bCs w:val="0"/>
                <w:color w:val="auto"/>
                <w:kern w:val="0"/>
                <w:sz w:val="20"/>
                <w:szCs w:val="20"/>
                <w:lang w:val="en-US" w:eastAsia="zh-CN"/>
              </w:rPr>
              <w:t>事项</w:t>
            </w:r>
          </w:p>
          <w:p>
            <w:pPr>
              <w:keepNext w:val="0"/>
              <w:keepLines w:val="0"/>
              <w:widowControl/>
              <w:suppressLineNumbers w:val="0"/>
              <w:suppressAutoHyphens/>
              <w:bidi w:val="0"/>
              <w:adjustRightInd w:val="0"/>
              <w:snapToGrid w:val="0"/>
              <w:spacing w:before="0" w:beforeAutospacing="0" w:after="0" w:afterAutospacing="0"/>
              <w:ind w:left="0" w:leftChars="0" w:right="0" w:rightChars="0"/>
              <w:jc w:val="center"/>
              <w:rPr>
                <w:rFonts w:hint="default" w:ascii="Times New Roman" w:hAnsi="Times New Roman" w:eastAsia="黑体" w:cs="Times New Roman"/>
                <w:b w:val="0"/>
                <w:bCs w:val="0"/>
                <w:color w:val="auto"/>
                <w:kern w:val="0"/>
                <w:sz w:val="20"/>
                <w:szCs w:val="20"/>
                <w:lang w:val="en-US" w:eastAsia="zh-CN"/>
              </w:rPr>
            </w:pPr>
            <w:r>
              <w:rPr>
                <w:rFonts w:hint="default" w:ascii="Times New Roman" w:hAnsi="Times New Roman" w:eastAsia="黑体" w:cs="Times New Roman"/>
                <w:b w:val="0"/>
                <w:bCs w:val="0"/>
                <w:color w:val="auto"/>
                <w:kern w:val="0"/>
                <w:sz w:val="20"/>
                <w:szCs w:val="20"/>
                <w:lang w:val="en-US" w:eastAsia="zh-CN"/>
              </w:rPr>
              <w:t>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053" w:hRule="atLeast"/>
          <w:jc w:val="center"/>
        </w:trPr>
        <w:tc>
          <w:tcPr>
            <w:tcW w:w="226"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b w:val="0"/>
                <w:bCs w:val="0"/>
                <w:color w:val="auto"/>
                <w:kern w:val="0"/>
                <w:sz w:val="20"/>
                <w:szCs w:val="20"/>
                <w:lang w:val="en" w:eastAsia="zh-CN"/>
              </w:rPr>
            </w:pPr>
            <w:r>
              <w:rPr>
                <w:rFonts w:hint="default" w:ascii="Times New Roman" w:hAnsi="Times New Roman" w:eastAsia="仿宋_GB2312" w:cs="Times New Roman"/>
                <w:b w:val="0"/>
                <w:bCs w:val="0"/>
                <w:color w:val="auto"/>
                <w:kern w:val="0"/>
                <w:sz w:val="20"/>
                <w:szCs w:val="20"/>
                <w:lang w:val="en" w:eastAsia="zh-CN"/>
              </w:rPr>
              <w:t>1</w:t>
            </w:r>
          </w:p>
        </w:tc>
        <w:tc>
          <w:tcPr>
            <w:tcW w:w="446" w:type="pct"/>
            <w:noWrap w:val="0"/>
            <w:vAlign w:val="center"/>
          </w:tcPr>
          <w:p>
            <w:pPr>
              <w:keepNext w:val="0"/>
              <w:keepLines w:val="0"/>
              <w:suppressLineNumbers w:val="0"/>
              <w:suppressAutoHyphens/>
              <w:bidi w:val="0"/>
              <w:spacing w:before="0" w:beforeAutospacing="0" w:after="0" w:afterAutospacing="0"/>
              <w:ind w:left="0" w:right="0"/>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对医疗救助的监督检查</w:t>
            </w:r>
          </w:p>
        </w:tc>
        <w:tc>
          <w:tcPr>
            <w:tcW w:w="414" w:type="pct"/>
            <w:noWrap w:val="0"/>
            <w:vAlign w:val="center"/>
          </w:tcPr>
          <w:p>
            <w:pPr>
              <w:keepNext w:val="0"/>
              <w:keepLines w:val="0"/>
              <w:suppressLineNumbers w:val="0"/>
              <w:suppressAutoHyphens/>
              <w:bidi w:val="0"/>
              <w:spacing w:before="0" w:beforeAutospacing="0" w:after="0" w:afterAutospacing="0"/>
              <w:ind w:left="0" w:right="0"/>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对医疗救助的监督检查</w:t>
            </w:r>
          </w:p>
        </w:tc>
        <w:tc>
          <w:tcPr>
            <w:tcW w:w="1459" w:type="pct"/>
            <w:noWrap w:val="0"/>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《社会救助暂行办法》第五十七条　县级以上人民政府及其社会救助管理部门应当加强对社会救助工作的监督检查，完善相关监督管理制度。</w:t>
            </w:r>
          </w:p>
        </w:tc>
        <w:tc>
          <w:tcPr>
            <w:tcW w:w="2103" w:type="pct"/>
            <w:noWrap w:val="0"/>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1.</w:t>
            </w:r>
            <w:r>
              <w:rPr>
                <w:rFonts w:hint="default" w:ascii="Times New Roman" w:hAnsi="Times New Roman" w:eastAsia="仿宋_GB2312" w:cs="Times New Roman"/>
                <w:b w:val="0"/>
                <w:bCs w:val="0"/>
                <w:color w:val="auto"/>
                <w:kern w:val="0"/>
                <w:sz w:val="20"/>
                <w:szCs w:val="20"/>
                <w:lang w:val="en-US" w:eastAsia="zh-CN"/>
              </w:rPr>
              <w:t>《社会救助暂行办法》第六十六条　违反本办法规定，有下列情形之一的，由上级行政机关或者监察机关责令改正；对直接负责的主管人员和其他直接责任人员依法给予处分：</w:t>
            </w:r>
            <w:r>
              <w:rPr>
                <w:rFonts w:hint="default" w:ascii="Times New Roman" w:hAnsi="Times New Roman" w:eastAsia="仿宋_GB2312" w:cs="Times New Roman"/>
                <w:b w:val="0"/>
                <w:bCs w:val="0"/>
                <w:color w:val="auto"/>
                <w:kern w:val="0"/>
                <w:sz w:val="20"/>
                <w:szCs w:val="20"/>
                <w:lang w:val="en-US" w:eastAsia="zh-CN"/>
              </w:rPr>
              <w:br w:type="textWrapping"/>
            </w:r>
            <w:r>
              <w:rPr>
                <w:rFonts w:hint="default" w:ascii="Times New Roman" w:hAnsi="Times New Roman" w:eastAsia="仿宋_GB2312" w:cs="Times New Roman"/>
                <w:b w:val="0"/>
                <w:bCs w:val="0"/>
                <w:color w:val="auto"/>
                <w:kern w:val="0"/>
                <w:sz w:val="20"/>
                <w:szCs w:val="20"/>
                <w:lang w:val="en-US" w:eastAsia="zh-CN"/>
              </w:rPr>
              <w:t>（一）对符合申请条件的救助申请不予受理的；</w:t>
            </w:r>
            <w:r>
              <w:rPr>
                <w:rFonts w:hint="default" w:ascii="Times New Roman" w:hAnsi="Times New Roman" w:eastAsia="仿宋_GB2312" w:cs="Times New Roman"/>
                <w:b w:val="0"/>
                <w:bCs w:val="0"/>
                <w:color w:val="auto"/>
                <w:kern w:val="0"/>
                <w:sz w:val="20"/>
                <w:szCs w:val="20"/>
                <w:lang w:val="en-US" w:eastAsia="zh-CN"/>
              </w:rPr>
              <w:br w:type="textWrapping"/>
            </w:r>
            <w:r>
              <w:rPr>
                <w:rFonts w:hint="default" w:ascii="Times New Roman" w:hAnsi="Times New Roman" w:eastAsia="仿宋_GB2312" w:cs="Times New Roman"/>
                <w:b w:val="0"/>
                <w:bCs w:val="0"/>
                <w:color w:val="auto"/>
                <w:kern w:val="0"/>
                <w:sz w:val="20"/>
                <w:szCs w:val="20"/>
                <w:lang w:val="en-US" w:eastAsia="zh-CN"/>
              </w:rPr>
              <w:t>（二）对符合救助条件的救助申请不予批准的；</w:t>
            </w:r>
            <w:r>
              <w:rPr>
                <w:rFonts w:hint="default" w:ascii="Times New Roman" w:hAnsi="Times New Roman" w:eastAsia="仿宋_GB2312" w:cs="Times New Roman"/>
                <w:b w:val="0"/>
                <w:bCs w:val="0"/>
                <w:color w:val="auto"/>
                <w:kern w:val="0"/>
                <w:sz w:val="20"/>
                <w:szCs w:val="20"/>
                <w:lang w:val="en-US" w:eastAsia="zh-CN"/>
              </w:rPr>
              <w:br w:type="textWrapping"/>
            </w:r>
            <w:r>
              <w:rPr>
                <w:rFonts w:hint="default" w:ascii="Times New Roman" w:hAnsi="Times New Roman" w:eastAsia="仿宋_GB2312" w:cs="Times New Roman"/>
                <w:b w:val="0"/>
                <w:bCs w:val="0"/>
                <w:color w:val="auto"/>
                <w:kern w:val="0"/>
                <w:sz w:val="20"/>
                <w:szCs w:val="20"/>
                <w:lang w:val="en-US" w:eastAsia="zh-CN"/>
              </w:rPr>
              <w:t>（三）对不符合救助条件的救助申请予以批准的；</w:t>
            </w:r>
            <w:r>
              <w:rPr>
                <w:rFonts w:hint="default" w:ascii="Times New Roman" w:hAnsi="Times New Roman" w:eastAsia="仿宋_GB2312" w:cs="Times New Roman"/>
                <w:b w:val="0"/>
                <w:bCs w:val="0"/>
                <w:color w:val="auto"/>
                <w:kern w:val="0"/>
                <w:sz w:val="20"/>
                <w:szCs w:val="20"/>
                <w:lang w:val="en-US" w:eastAsia="zh-CN"/>
              </w:rPr>
              <w:br w:type="textWrapping"/>
            </w:r>
            <w:r>
              <w:rPr>
                <w:rFonts w:hint="default" w:ascii="Times New Roman" w:hAnsi="Times New Roman" w:eastAsia="仿宋_GB2312" w:cs="Times New Roman"/>
                <w:b w:val="0"/>
                <w:bCs w:val="0"/>
                <w:color w:val="auto"/>
                <w:kern w:val="0"/>
                <w:sz w:val="20"/>
                <w:szCs w:val="20"/>
                <w:lang w:val="en-US" w:eastAsia="zh-CN"/>
              </w:rPr>
              <w:t>（四）泄露在工作中知悉的公民个人信息，造成后果的；</w:t>
            </w:r>
            <w:r>
              <w:rPr>
                <w:rFonts w:hint="default" w:ascii="Times New Roman" w:hAnsi="Times New Roman" w:eastAsia="仿宋_GB2312" w:cs="Times New Roman"/>
                <w:b w:val="0"/>
                <w:bCs w:val="0"/>
                <w:color w:val="auto"/>
                <w:kern w:val="0"/>
                <w:sz w:val="20"/>
                <w:szCs w:val="20"/>
                <w:lang w:val="en-US" w:eastAsia="zh-CN"/>
              </w:rPr>
              <w:br w:type="textWrapping"/>
            </w:r>
            <w:r>
              <w:rPr>
                <w:rFonts w:hint="default" w:ascii="Times New Roman" w:hAnsi="Times New Roman" w:eastAsia="仿宋_GB2312" w:cs="Times New Roman"/>
                <w:b w:val="0"/>
                <w:bCs w:val="0"/>
                <w:color w:val="auto"/>
                <w:kern w:val="0"/>
                <w:sz w:val="20"/>
                <w:szCs w:val="20"/>
                <w:lang w:val="en-US" w:eastAsia="zh-CN"/>
              </w:rPr>
              <w:t>（五）丢失、篡改接受社会救助款物、服务记录等数据的；</w:t>
            </w:r>
            <w:r>
              <w:rPr>
                <w:rFonts w:hint="default" w:ascii="Times New Roman" w:hAnsi="Times New Roman" w:eastAsia="仿宋_GB2312" w:cs="Times New Roman"/>
                <w:b w:val="0"/>
                <w:bCs w:val="0"/>
                <w:color w:val="auto"/>
                <w:kern w:val="0"/>
                <w:sz w:val="20"/>
                <w:szCs w:val="20"/>
                <w:lang w:val="en-US" w:eastAsia="zh-CN"/>
              </w:rPr>
              <w:br w:type="textWrapping"/>
            </w:r>
            <w:r>
              <w:rPr>
                <w:rFonts w:hint="default" w:ascii="Times New Roman" w:hAnsi="Times New Roman" w:eastAsia="仿宋_GB2312" w:cs="Times New Roman"/>
                <w:b w:val="0"/>
                <w:bCs w:val="0"/>
                <w:color w:val="auto"/>
                <w:kern w:val="0"/>
                <w:sz w:val="20"/>
                <w:szCs w:val="20"/>
                <w:lang w:val="en-US" w:eastAsia="zh-CN"/>
              </w:rPr>
              <w:t>（六）不按照规定发放社会救助资金、物资或者提供相关服务的；</w:t>
            </w:r>
            <w:r>
              <w:rPr>
                <w:rFonts w:hint="default" w:ascii="Times New Roman" w:hAnsi="Times New Roman" w:eastAsia="仿宋_GB2312" w:cs="Times New Roman"/>
                <w:b w:val="0"/>
                <w:bCs w:val="0"/>
                <w:color w:val="auto"/>
                <w:kern w:val="0"/>
                <w:sz w:val="20"/>
                <w:szCs w:val="20"/>
                <w:lang w:val="en-US" w:eastAsia="zh-CN"/>
              </w:rPr>
              <w:br w:type="textWrapping"/>
            </w:r>
            <w:r>
              <w:rPr>
                <w:rFonts w:hint="default" w:ascii="Times New Roman" w:hAnsi="Times New Roman" w:eastAsia="仿宋_GB2312" w:cs="Times New Roman"/>
                <w:b w:val="0"/>
                <w:bCs w:val="0"/>
                <w:color w:val="auto"/>
                <w:kern w:val="0"/>
                <w:sz w:val="20"/>
                <w:szCs w:val="20"/>
                <w:lang w:val="en-US" w:eastAsia="zh-CN"/>
              </w:rPr>
              <w:t>（七）在履行社会救助职责过程中有其他滥用职权、玩忽职守、徇私舞弊行为的。</w:t>
            </w:r>
            <w:r>
              <w:rPr>
                <w:rFonts w:hint="default" w:ascii="Times New Roman" w:hAnsi="Times New Roman" w:eastAsia="仿宋_GB2312" w:cs="Times New Roman"/>
                <w:b w:val="0"/>
                <w:bCs w:val="0"/>
                <w:color w:val="auto"/>
                <w:kern w:val="0"/>
                <w:sz w:val="20"/>
                <w:szCs w:val="20"/>
                <w:lang w:val="en-US" w:eastAsia="zh-CN"/>
              </w:rPr>
              <w:br w:type="textWrapping"/>
            </w:r>
            <w:r>
              <w:rPr>
                <w:rFonts w:hint="default" w:ascii="Times New Roman" w:hAnsi="Times New Roman" w:eastAsia="仿宋_GB2312" w:cs="Times New Roman"/>
                <w:b w:val="0"/>
                <w:bCs w:val="0"/>
                <w:color w:val="auto"/>
                <w:kern w:val="0"/>
                <w:sz w:val="20"/>
                <w:szCs w:val="20"/>
                <w:lang w:val="en" w:eastAsia="zh-CN"/>
              </w:rPr>
              <w:t>2.</w:t>
            </w:r>
            <w:r>
              <w:rPr>
                <w:rFonts w:hint="default" w:ascii="Times New Roman" w:hAnsi="Times New Roman" w:eastAsia="仿宋_GB2312" w:cs="Times New Roman"/>
                <w:b w:val="0"/>
                <w:bCs w:val="0"/>
                <w:color w:val="auto"/>
                <w:kern w:val="0"/>
                <w:sz w:val="20"/>
                <w:szCs w:val="20"/>
                <w:lang w:val="en-US" w:eastAsia="zh-CN"/>
              </w:rPr>
              <w:t>《社会救助暂行办法》第六十七条　违反本办法规定，截留、挤占、挪用、私分社会救助资金、物资的，由有关部门责令追回；有违法所得的，没收违法所得；对直接负责的主管人员和其他直接责任人员依法给予处分。</w:t>
            </w:r>
            <w:r>
              <w:rPr>
                <w:rFonts w:hint="default" w:ascii="Times New Roman" w:hAnsi="Times New Roman" w:eastAsia="仿宋_GB2312" w:cs="Times New Roman"/>
                <w:b w:val="0"/>
                <w:bCs w:val="0"/>
                <w:color w:val="auto"/>
                <w:kern w:val="0"/>
                <w:sz w:val="20"/>
                <w:szCs w:val="20"/>
                <w:lang w:val="en-US" w:eastAsia="zh-CN"/>
              </w:rPr>
              <w:br w:type="textWrapping"/>
            </w:r>
            <w:r>
              <w:rPr>
                <w:rFonts w:hint="default" w:ascii="Times New Roman" w:hAnsi="Times New Roman" w:eastAsia="仿宋_GB2312" w:cs="Times New Roman"/>
                <w:b w:val="0"/>
                <w:bCs w:val="0"/>
                <w:color w:val="auto"/>
                <w:kern w:val="0"/>
                <w:sz w:val="20"/>
                <w:szCs w:val="20"/>
                <w:lang w:val="en" w:eastAsia="zh-CN"/>
              </w:rPr>
              <w:t>3.</w:t>
            </w:r>
            <w:r>
              <w:rPr>
                <w:rFonts w:hint="default" w:ascii="Times New Roman" w:hAnsi="Times New Roman" w:eastAsia="仿宋_GB2312" w:cs="Times New Roman"/>
                <w:b w:val="0"/>
                <w:bCs w:val="0"/>
                <w:color w:val="auto"/>
                <w:kern w:val="0"/>
                <w:sz w:val="20"/>
                <w:szCs w:val="20"/>
                <w:lang w:val="en-US" w:eastAsia="zh-CN"/>
              </w:rPr>
              <w:t>《社会救助暂行办法》第六十八条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w:t>
            </w:r>
          </w:p>
          <w:p>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注：对医疗救助的执法权由行政部门按各自职能行使。</w:t>
            </w:r>
          </w:p>
        </w:tc>
        <w:tc>
          <w:tcPr>
            <w:tcW w:w="35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val="0"/>
                <w:color w:val="auto"/>
                <w:kern w:val="0"/>
                <w:sz w:val="18"/>
                <w:szCs w:val="18"/>
                <w:lang w:val="en-US" w:eastAsia="zh-CN"/>
              </w:rPr>
            </w:pPr>
            <w:r>
              <w:rPr>
                <w:rFonts w:hint="default" w:ascii="Times New Roman" w:hAnsi="Times New Roman" w:eastAsia="仿宋_GB2312" w:cs="Times New Roman"/>
                <w:b w:val="0"/>
                <w:bCs w:val="0"/>
                <w:color w:val="auto"/>
                <w:kern w:val="0"/>
                <w:sz w:val="18"/>
                <w:szCs w:val="18"/>
                <w:lang w:val="en-US" w:eastAsia="zh-CN"/>
              </w:rPr>
              <w:t>一般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val="0"/>
                <w:color w:val="auto"/>
                <w:kern w:val="0"/>
                <w:sz w:val="18"/>
                <w:szCs w:val="18"/>
                <w:lang w:val="en-US" w:eastAsia="zh-CN"/>
              </w:rPr>
            </w:pPr>
            <w:r>
              <w:rPr>
                <w:rFonts w:hint="default" w:ascii="Times New Roman" w:hAnsi="Times New Roman" w:eastAsia="仿宋_GB2312" w:cs="Times New Roman"/>
                <w:b w:val="0"/>
                <w:bCs w:val="0"/>
                <w:color w:val="auto"/>
                <w:kern w:val="0"/>
                <w:sz w:val="18"/>
                <w:szCs w:val="18"/>
                <w:lang w:val="en-US" w:eastAsia="zh-CN"/>
              </w:rPr>
              <w:t>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val="0"/>
                <w:i w:val="0"/>
                <w:color w:val="auto"/>
                <w:kern w:val="2"/>
                <w:sz w:val="22"/>
                <w:szCs w:val="22"/>
                <w:u w:val="none"/>
                <w:lang w:val="en-US" w:eastAsia="zh-CN" w:bidi="ar-SA"/>
              </w:rPr>
            </w:pPr>
            <w:r>
              <w:rPr>
                <w:rFonts w:hint="default" w:ascii="Times New Roman" w:hAnsi="Times New Roman" w:eastAsia="仿宋_GB2312" w:cs="Times New Roman"/>
                <w:b w:val="0"/>
                <w:bCs w:val="0"/>
                <w:color w:val="auto"/>
                <w:kern w:val="0"/>
                <w:sz w:val="18"/>
                <w:szCs w:val="18"/>
                <w:lang w:val="en-US" w:eastAsia="zh-CN"/>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8152" w:hRule="atLeast"/>
          <w:jc w:val="center"/>
        </w:trPr>
        <w:tc>
          <w:tcPr>
            <w:tcW w:w="226" w:type="pct"/>
            <w:noWrap w:val="0"/>
            <w:vAlign w:val="center"/>
          </w:tcPr>
          <w:p>
            <w:pPr>
              <w:keepNext w:val="0"/>
              <w:keepLines w:val="0"/>
              <w:pageBreakBefore w:val="0"/>
              <w:widowControl/>
              <w:suppressLineNumbers w:val="0"/>
              <w:suppressAutoHyphens/>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textAlignment w:val="auto"/>
              <w:rPr>
                <w:rFonts w:hint="default" w:ascii="Times New Roman" w:hAnsi="Times New Roman" w:eastAsia="仿宋_GB2312" w:cs="Times New Roman"/>
                <w:b w:val="0"/>
                <w:bCs w:val="0"/>
                <w:color w:val="auto"/>
                <w:kern w:val="0"/>
                <w:sz w:val="20"/>
                <w:szCs w:val="20"/>
                <w:lang w:val="en-US" w:eastAsia="zh-CN" w:bidi="ar-SA"/>
              </w:rPr>
            </w:pPr>
            <w:r>
              <w:rPr>
                <w:rFonts w:hint="default" w:ascii="Times New Roman" w:hAnsi="Times New Roman" w:eastAsia="仿宋_GB2312" w:cs="Times New Roman"/>
                <w:b w:val="0"/>
                <w:bCs w:val="0"/>
                <w:color w:val="auto"/>
                <w:kern w:val="0"/>
                <w:sz w:val="20"/>
                <w:szCs w:val="20"/>
                <w:lang w:val="en-US" w:eastAsia="zh-CN" w:bidi="ar-SA"/>
              </w:rPr>
              <w:t>2</w:t>
            </w:r>
          </w:p>
        </w:tc>
        <w:tc>
          <w:tcPr>
            <w:tcW w:w="446" w:type="pct"/>
            <w:noWrap w:val="0"/>
            <w:vAlign w:val="center"/>
          </w:tcPr>
          <w:p>
            <w:pPr>
              <w:keepNext w:val="0"/>
              <w:keepLines w:val="0"/>
              <w:pageBreakBefore w:val="0"/>
              <w:suppressLineNumbers w:val="0"/>
              <w:suppressAutoHyphens/>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对药品上市许可持有人、药品和医用耗材生产企业、药品经营企业药品、医用耗材的实际购销价格和购销数量等的监督检查</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280" w:lineRule="exact"/>
              <w:ind w:left="0" w:leftChars="0" w:right="0" w:rightChars="0"/>
              <w:textAlignment w:val="auto"/>
              <w:rPr>
                <w:rFonts w:hint="default" w:ascii="Times New Roman" w:hAnsi="Times New Roman" w:eastAsia="仿宋_GB2312" w:cs="Times New Roman"/>
                <w:b w:val="0"/>
                <w:bCs w:val="0"/>
                <w:color w:val="auto"/>
                <w:kern w:val="0"/>
                <w:sz w:val="20"/>
                <w:szCs w:val="20"/>
                <w:lang w:val="en-US" w:eastAsia="zh-CN" w:bidi="ar-SA"/>
              </w:rPr>
            </w:pPr>
          </w:p>
        </w:tc>
        <w:tc>
          <w:tcPr>
            <w:tcW w:w="414" w:type="pct"/>
            <w:noWrap w:val="0"/>
            <w:vAlign w:val="center"/>
          </w:tcPr>
          <w:p>
            <w:pPr>
              <w:keepNext w:val="0"/>
              <w:keepLines w:val="0"/>
              <w:pageBreakBefore w:val="0"/>
              <w:suppressLineNumbers w:val="0"/>
              <w:suppressAutoHyphens/>
              <w:kinsoku/>
              <w:wordWrap/>
              <w:overflowPunct/>
              <w:topLinePunct w:val="0"/>
              <w:autoSpaceDE/>
              <w:autoSpaceDN/>
              <w:bidi w:val="0"/>
              <w:spacing w:before="0" w:beforeAutospacing="0" w:after="0" w:afterAutospacing="0" w:line="280" w:lineRule="exact"/>
              <w:ind w:left="0" w:leftChars="0" w:right="0" w:rightChars="0"/>
              <w:textAlignment w:val="auto"/>
              <w:rPr>
                <w:rFonts w:hint="default" w:ascii="Times New Roman" w:hAnsi="Times New Roman" w:eastAsia="仿宋_GB2312" w:cs="Times New Roman"/>
                <w:b w:val="0"/>
                <w:bCs w:val="0"/>
                <w:color w:val="auto"/>
                <w:kern w:val="0"/>
                <w:sz w:val="20"/>
                <w:szCs w:val="20"/>
                <w:lang w:val="en-US" w:eastAsia="zh-CN" w:bidi="ar-SA"/>
              </w:rPr>
            </w:pPr>
            <w:r>
              <w:rPr>
                <w:rFonts w:hint="default" w:ascii="Times New Roman" w:hAnsi="Times New Roman" w:eastAsia="仿宋_GB2312" w:cs="Times New Roman"/>
                <w:b w:val="0"/>
                <w:bCs w:val="0"/>
                <w:color w:val="auto"/>
                <w:kern w:val="0"/>
                <w:sz w:val="20"/>
                <w:szCs w:val="20"/>
                <w:lang w:val="en-US" w:eastAsia="zh-CN"/>
              </w:rPr>
              <w:t>药品、医用耗材的实际购销价格和购销数量等</w:t>
            </w:r>
          </w:p>
        </w:tc>
        <w:tc>
          <w:tcPr>
            <w:tcW w:w="1459" w:type="pct"/>
            <w:noWrap w:val="0"/>
            <w:vAlign w:val="center"/>
          </w:tcPr>
          <w:p>
            <w:pPr>
              <w:keepNext w:val="0"/>
              <w:keepLines w:val="0"/>
              <w:pageBreakBefore w:val="0"/>
              <w:suppressLineNumbers w:val="0"/>
              <w:suppressAutoHyphens/>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1.《中华人民共和国药品管理法》第八十六条　药品上市许可持有人、药品生产企业、药品经营企业和医疗机构应当依法向药品价格主管部门提供其药品的实际购销价格和购销数量等资料。</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2.《医疗保障基金使用监督管理条例》第十六条　定点医药机构应当按照规定保管财务账目、会计凭证、处方、病历、治疗检查记录、费用明细、药品和医用耗材出入库记录等资料，及时通过医疗保障信息系统全面准确传送医疗保障基金使用有关数据，向医疗保障行政部门报告医疗保障基金使用监督管理所需信息，向社会公开医药费用、费用结构等信息，接受社会监督。</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280" w:lineRule="exact"/>
              <w:ind w:left="0" w:leftChars="0" w:right="0" w:rightChars="0"/>
              <w:textAlignment w:val="auto"/>
              <w:rPr>
                <w:rFonts w:hint="default" w:ascii="Times New Roman" w:hAnsi="Times New Roman" w:eastAsia="仿宋_GB2312" w:cs="Times New Roman"/>
                <w:b w:val="0"/>
                <w:bCs w:val="0"/>
                <w:color w:val="auto"/>
                <w:kern w:val="0"/>
                <w:sz w:val="20"/>
                <w:szCs w:val="20"/>
                <w:lang w:val="en-US" w:eastAsia="zh-CN" w:bidi="ar-SA"/>
              </w:rPr>
            </w:pPr>
            <w:r>
              <w:rPr>
                <w:rFonts w:hint="default" w:ascii="Times New Roman" w:hAnsi="Times New Roman" w:eastAsia="仿宋_GB2312" w:cs="Times New Roman"/>
                <w:b w:val="0"/>
                <w:bCs w:val="0"/>
                <w:color w:val="auto"/>
                <w:kern w:val="0"/>
                <w:sz w:val="20"/>
                <w:szCs w:val="20"/>
                <w:lang w:val="en-US" w:eastAsia="zh-CN"/>
              </w:rPr>
              <w:t>3.《中共遂宁市委办公室 遂宁市人民政府办公室关于印发〈遂宁市医疗保障局职能配置、内设机构和人员编制规定〉的通知》第三条第五款　组织拟订药品、医疗服务项目、医疗服务设施收费等政策措施。建立医保支付医药服务价格合理确定和动态调整机制，推动建立市场主导的社会医药服务价格形成机制，建立价格信息监测和信息发布制度。</w:t>
            </w:r>
          </w:p>
        </w:tc>
        <w:tc>
          <w:tcPr>
            <w:tcW w:w="2103" w:type="pct"/>
            <w:noWrap w:val="0"/>
            <w:vAlign w:val="center"/>
          </w:tcPr>
          <w:p>
            <w:pPr>
              <w:keepNext w:val="0"/>
              <w:keepLines w:val="0"/>
              <w:pageBreakBefore w:val="0"/>
              <w:suppressLineNumbers w:val="0"/>
              <w:suppressAutoHyphens/>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1.</w:t>
            </w:r>
            <w:r>
              <w:rPr>
                <w:rFonts w:hint="default" w:ascii="Times New Roman" w:hAnsi="Times New Roman" w:eastAsia="仿宋_GB2312" w:cs="Times New Roman"/>
                <w:b w:val="0"/>
                <w:bCs w:val="0"/>
                <w:color w:val="auto"/>
                <w:kern w:val="0"/>
                <w:sz w:val="20"/>
                <w:szCs w:val="20"/>
                <w:lang w:val="en-US" w:eastAsia="zh-CN"/>
              </w:rPr>
              <w:t>《中华人民共和国价格法》第四十条第一款  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2.</w:t>
            </w:r>
            <w:r>
              <w:rPr>
                <w:rFonts w:hint="default" w:ascii="Times New Roman" w:hAnsi="Times New Roman" w:eastAsia="仿宋_GB2312" w:cs="Times New Roman"/>
                <w:b w:val="0"/>
                <w:bCs w:val="0"/>
                <w:color w:val="auto"/>
                <w:kern w:val="0"/>
                <w:sz w:val="20"/>
                <w:szCs w:val="20"/>
                <w:lang w:val="en-US" w:eastAsia="zh-CN"/>
              </w:rPr>
              <w:t>《医疗保障基金使用监督管理条例》第三十八条　定点医药机构有下列情形之一的，由医疗保障行政部门责令改正，并可以约谈有关负责人；造成医疗保障基金损失的，责令退回，处造成损失金额1倍以上2倍以下的罚款；拒不改正或者造成严重后果的，责令定点医药机构暂停相关责任部门6个月以上1年以下涉及医疗保障基金使用的医药服务；违反其他法律、行政法规的，由有关主管部门依法处理：</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w:t>
            </w:r>
            <w:r>
              <w:rPr>
                <w:rFonts w:hint="default" w:ascii="Times New Roman" w:hAnsi="Times New Roman" w:eastAsia="仿宋_GB2312" w:cs="Times New Roman"/>
                <w:b w:val="0"/>
                <w:bCs w:val="0"/>
                <w:color w:val="auto"/>
                <w:kern w:val="0"/>
                <w:sz w:val="20"/>
                <w:szCs w:val="20"/>
                <w:lang w:val="en-US" w:eastAsia="zh-CN"/>
              </w:rPr>
              <w:t>（四）串换药品、医用耗材、诊疗项目和服务设施；</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（五）为参保人员利用其享受医疗保障待遇的机会转卖药品，接受返还现金、实物或者获得其他非法利益提供便利；</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（六）将不属于医疗保障基金支付范围的医药费用纳入医疗保障基金结算；</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（七）造成医疗保障基金损失的其他违法行为。</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 w:eastAsia="zh-CN"/>
              </w:rPr>
              <w:t>3.</w:t>
            </w:r>
            <w:r>
              <w:rPr>
                <w:rFonts w:hint="default" w:ascii="Times New Roman" w:hAnsi="Times New Roman" w:eastAsia="仿宋_GB2312" w:cs="Times New Roman"/>
                <w:b w:val="0"/>
                <w:bCs w:val="0"/>
                <w:color w:val="auto"/>
                <w:kern w:val="0"/>
                <w:sz w:val="20"/>
                <w:szCs w:val="20"/>
                <w:lang w:val="en-US" w:eastAsia="zh-CN"/>
              </w:rPr>
              <w:t>《医疗保障基金使用监督管理条例》第三十九条　定点医药机构有下列情形之一的，由医疗保障行政部门责令改正，并可以约谈有关负责人；拒不改正的，处1万元以上5万元以下的罚款；违反其他法律、行政法规的，由有关主管部门依法处理：</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……（五）未按照规定向社会公开医药费用、费用结构等信息；</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_GB2312" w:cs="Times New Roman"/>
                <w:b w:val="0"/>
                <w:bCs w:val="0"/>
                <w:color w:val="auto"/>
                <w:kern w:val="0"/>
                <w:sz w:val="20"/>
                <w:szCs w:val="20"/>
                <w:lang w:val="en-US" w:eastAsia="zh-CN"/>
              </w:rPr>
            </w:pPr>
            <w:r>
              <w:rPr>
                <w:rFonts w:hint="default" w:ascii="Times New Roman" w:hAnsi="Times New Roman" w:eastAsia="仿宋_GB2312" w:cs="Times New Roman"/>
                <w:b w:val="0"/>
                <w:bCs w:val="0"/>
                <w:color w:val="auto"/>
                <w:kern w:val="0"/>
                <w:sz w:val="20"/>
                <w:szCs w:val="20"/>
                <w:lang w:val="en-US" w:eastAsia="zh-CN"/>
              </w:rPr>
              <w:t>（六）除急诊、抢救等特殊情形外，未经参保人员或者其近亲属、监护人同意提供医疗保障基金支付范围以外的医药服务；</w:t>
            </w:r>
          </w:p>
          <w:p>
            <w:pPr>
              <w:keepNext w:val="0"/>
              <w:keepLines w:val="0"/>
              <w:pageBreakBefore w:val="0"/>
              <w:suppressLineNumbers w:val="0"/>
              <w:suppressAutoHyphens/>
              <w:kinsoku/>
              <w:wordWrap/>
              <w:overflowPunct/>
              <w:topLinePunct w:val="0"/>
              <w:autoSpaceDE/>
              <w:autoSpaceDN/>
              <w:bidi w:val="0"/>
              <w:spacing w:before="0" w:beforeAutospacing="0" w:after="0" w:afterAutospacing="0" w:line="280" w:lineRule="exact"/>
              <w:ind w:left="0" w:leftChars="0" w:right="0" w:rightChars="0"/>
              <w:textAlignment w:val="auto"/>
              <w:rPr>
                <w:rFonts w:hint="default" w:ascii="Times New Roman" w:hAnsi="Times New Roman" w:eastAsia="仿宋_GB2312" w:cs="Times New Roman"/>
                <w:b w:val="0"/>
                <w:bCs w:val="0"/>
                <w:color w:val="auto"/>
                <w:kern w:val="2"/>
                <w:sz w:val="20"/>
                <w:szCs w:val="20"/>
                <w:lang w:val="en-US" w:eastAsia="zh-CN" w:bidi="ar-SA"/>
              </w:rPr>
            </w:pPr>
            <w:r>
              <w:rPr>
                <w:rFonts w:hint="default" w:ascii="Times New Roman" w:hAnsi="Times New Roman" w:eastAsia="仿宋_GB2312" w:cs="Times New Roman"/>
                <w:b w:val="0"/>
                <w:bCs w:val="0"/>
                <w:color w:val="auto"/>
                <w:kern w:val="0"/>
                <w:sz w:val="20"/>
                <w:szCs w:val="20"/>
                <w:lang w:val="en-US" w:eastAsia="zh-CN"/>
              </w:rPr>
              <w:t>（七）拒绝医疗保障等行政部门监督检查或者提供虚假情况</w:t>
            </w:r>
          </w:p>
        </w:tc>
        <w:tc>
          <w:tcPr>
            <w:tcW w:w="350"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leftChars="0" w:right="0" w:rightChars="0" w:firstLine="0" w:firstLineChars="0"/>
              <w:jc w:val="center"/>
              <w:textAlignment w:val="auto"/>
              <w:rPr>
                <w:rFonts w:hint="default" w:ascii="Times New Roman" w:hAnsi="Times New Roman" w:eastAsia="仿宋_GB2312" w:cs="Times New Roman"/>
                <w:b w:val="0"/>
                <w:bCs w:val="0"/>
                <w:color w:val="auto"/>
                <w:kern w:val="2"/>
                <w:sz w:val="20"/>
                <w:szCs w:val="20"/>
                <w:lang w:val="en-US" w:eastAsia="zh-CN" w:bidi="ar-SA"/>
              </w:rPr>
            </w:pPr>
            <w:r>
              <w:rPr>
                <w:rFonts w:hint="default" w:ascii="Times New Roman" w:hAnsi="Times New Roman" w:eastAsia="仿宋_GB2312" w:cs="Times New Roman"/>
                <w:b w:val="0"/>
                <w:bCs w:val="0"/>
                <w:color w:val="auto"/>
                <w:kern w:val="2"/>
                <w:sz w:val="20"/>
                <w:szCs w:val="20"/>
                <w:lang w:val="en-US" w:eastAsia="zh-CN" w:bidi="ar-SA"/>
              </w:rPr>
              <w:t>一般</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leftChars="0" w:right="0" w:rightChars="0" w:firstLine="0" w:firstLineChars="0"/>
              <w:jc w:val="center"/>
              <w:textAlignment w:val="auto"/>
              <w:rPr>
                <w:rFonts w:hint="default" w:ascii="Times New Roman" w:hAnsi="Times New Roman" w:eastAsia="仿宋_GB2312" w:cs="Times New Roman"/>
                <w:b w:val="0"/>
                <w:bCs w:val="0"/>
                <w:color w:val="auto"/>
                <w:kern w:val="2"/>
                <w:sz w:val="20"/>
                <w:szCs w:val="20"/>
                <w:lang w:val="en-US" w:eastAsia="zh-CN" w:bidi="ar-SA"/>
              </w:rPr>
            </w:pPr>
            <w:r>
              <w:rPr>
                <w:rFonts w:hint="default" w:ascii="Times New Roman" w:hAnsi="Times New Roman" w:eastAsia="仿宋_GB2312" w:cs="Times New Roman"/>
                <w:b w:val="0"/>
                <w:bCs w:val="0"/>
                <w:color w:val="auto"/>
                <w:kern w:val="2"/>
                <w:sz w:val="20"/>
                <w:szCs w:val="20"/>
                <w:lang w:val="en-US" w:eastAsia="zh-CN" w:bidi="ar-SA"/>
              </w:rPr>
              <w:t>检查</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leftChars="0" w:right="0" w:rightChars="0" w:firstLine="0" w:firstLineChars="0"/>
              <w:jc w:val="center"/>
              <w:textAlignment w:val="auto"/>
              <w:rPr>
                <w:rFonts w:hint="default" w:ascii="Times New Roman" w:hAnsi="Times New Roman" w:eastAsia="仿宋_GB2312" w:cs="Times New Roman"/>
                <w:b w:val="0"/>
                <w:bCs w:val="0"/>
                <w:color w:val="auto"/>
                <w:kern w:val="2"/>
                <w:sz w:val="20"/>
                <w:szCs w:val="20"/>
                <w:lang w:val="en-US" w:eastAsia="zh-CN" w:bidi="ar-SA"/>
              </w:rPr>
            </w:pPr>
            <w:r>
              <w:rPr>
                <w:rFonts w:hint="default" w:ascii="Times New Roman" w:hAnsi="Times New Roman" w:eastAsia="仿宋_GB2312" w:cs="Times New Roman"/>
                <w:b w:val="0"/>
                <w:bCs w:val="0"/>
                <w:color w:val="auto"/>
                <w:kern w:val="2"/>
                <w:sz w:val="20"/>
                <w:szCs w:val="20"/>
                <w:lang w:val="en-US" w:eastAsia="zh-CN" w:bidi="ar-SA"/>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648" w:hRule="atLeast"/>
          <w:jc w:val="center"/>
        </w:trPr>
        <w:tc>
          <w:tcPr>
            <w:tcW w:w="226" w:type="pct"/>
            <w:noWrap w:val="0"/>
            <w:vAlign w:val="center"/>
          </w:tcPr>
          <w:p>
            <w:pPr>
              <w:keepNext w:val="0"/>
              <w:keepLines w:val="0"/>
              <w:widowControl/>
              <w:suppressLineNumbers w:val="0"/>
              <w:suppressAutoHyphens/>
              <w:bidi w:val="0"/>
              <w:adjustRightInd w:val="0"/>
              <w:snapToGrid w:val="0"/>
              <w:spacing w:before="0" w:beforeAutospacing="0" w:after="0" w:afterAutospacing="0"/>
              <w:ind w:left="0" w:leftChars="0" w:right="0" w:rightChars="0"/>
              <w:jc w:val="center"/>
              <w:rPr>
                <w:rFonts w:hint="default" w:ascii="Times New Roman" w:hAnsi="Times New Roman" w:eastAsia="仿宋_GB2312" w:cs="Times New Roman"/>
                <w:b w:val="0"/>
                <w:bCs w:val="0"/>
                <w:color w:val="auto"/>
                <w:kern w:val="0"/>
                <w:sz w:val="21"/>
                <w:szCs w:val="21"/>
                <w:lang w:val="en" w:eastAsia="zh-CN" w:bidi="ar-SA"/>
              </w:rPr>
            </w:pPr>
            <w:r>
              <w:rPr>
                <w:rFonts w:hint="default" w:ascii="Times New Roman" w:hAnsi="Times New Roman" w:eastAsia="仿宋_GB2312" w:cs="Times New Roman"/>
                <w:b w:val="0"/>
                <w:bCs w:val="0"/>
                <w:color w:val="auto"/>
                <w:kern w:val="0"/>
                <w:sz w:val="21"/>
                <w:szCs w:val="21"/>
                <w:lang w:val="en" w:eastAsia="zh-CN" w:bidi="ar-SA"/>
              </w:rPr>
              <w:t>3</w:t>
            </w:r>
          </w:p>
        </w:tc>
        <w:tc>
          <w:tcPr>
            <w:tcW w:w="446" w:type="pct"/>
            <w:noWrap w:val="0"/>
            <w:vAlign w:val="center"/>
          </w:tcPr>
          <w:p>
            <w:pPr>
              <w:keepNext w:val="0"/>
              <w:keepLines w:val="0"/>
              <w:suppressLineNumbers w:val="0"/>
              <w:suppressAutoHyphens/>
              <w:bidi w:val="0"/>
              <w:spacing w:before="0" w:beforeAutospacing="0" w:after="0" w:afterAutospacing="0"/>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社会保险核查</w:t>
            </w:r>
          </w:p>
        </w:tc>
        <w:tc>
          <w:tcPr>
            <w:tcW w:w="414" w:type="pct"/>
            <w:noWrap w:val="0"/>
            <w:vAlign w:val="center"/>
          </w:tcPr>
          <w:p>
            <w:pPr>
              <w:keepNext w:val="0"/>
              <w:keepLines w:val="0"/>
              <w:suppressLineNumbers w:val="0"/>
              <w:suppressAutoHyphens/>
              <w:bidi w:val="0"/>
              <w:spacing w:before="0" w:beforeAutospacing="0" w:after="0" w:afterAutospacing="0"/>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社会保险服务机构履行服务协议、执行费用结算项目和标准情况</w:t>
            </w:r>
          </w:p>
        </w:tc>
        <w:tc>
          <w:tcPr>
            <w:tcW w:w="1459" w:type="pct"/>
            <w:noWrap w:val="0"/>
            <w:vAlign w:val="center"/>
          </w:tcPr>
          <w:p>
            <w:pPr>
              <w:keepNext w:val="0"/>
              <w:keepLines w:val="0"/>
              <w:suppressLineNumbers w:val="0"/>
              <w:suppressAutoHyphens/>
              <w:bidi w:val="0"/>
              <w:spacing w:before="0" w:beforeAutospacing="0" w:after="0" w:afterAutospacing="0"/>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《社会保险经办条例》第四十二条　社会保险经办机构应当核查下列事项：</w:t>
            </w:r>
          </w:p>
          <w:p>
            <w:pPr>
              <w:keepNext w:val="0"/>
              <w:keepLines w:val="0"/>
              <w:suppressLineNumbers w:val="0"/>
              <w:suppressAutoHyphens/>
              <w:bidi w:val="0"/>
              <w:spacing w:before="0" w:beforeAutospacing="0" w:after="0" w:afterAutospacing="0"/>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（一）社会保险登记和待遇享受等情况；</w:t>
            </w:r>
          </w:p>
          <w:p>
            <w:pPr>
              <w:keepNext w:val="0"/>
              <w:keepLines w:val="0"/>
              <w:suppressLineNumbers w:val="0"/>
              <w:suppressAutoHyphens/>
              <w:bidi w:val="0"/>
              <w:spacing w:before="0" w:beforeAutospacing="0" w:after="0" w:afterAutospacing="0"/>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（二）社会保险服务机构履行服务协议、执行费用结算项目和标准情况；　</w:t>
            </w:r>
          </w:p>
          <w:p>
            <w:pPr>
              <w:keepNext w:val="0"/>
              <w:keepLines w:val="0"/>
              <w:suppressLineNumbers w:val="0"/>
              <w:suppressAutoHyphens/>
              <w:bidi w:val="0"/>
              <w:spacing w:before="0" w:beforeAutospacing="0" w:after="0" w:afterAutospacing="0"/>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 xml:space="preserve">（三）法律、法规规定的其他事项。  </w:t>
            </w:r>
          </w:p>
        </w:tc>
        <w:tc>
          <w:tcPr>
            <w:tcW w:w="2103" w:type="pct"/>
            <w:noWrap w:val="0"/>
            <w:vAlign w:val="center"/>
          </w:tcPr>
          <w:p>
            <w:pPr>
              <w:keepNext w:val="0"/>
              <w:keepLines w:val="0"/>
              <w:suppressLineNumbers w:val="0"/>
              <w:suppressAutoHyphens/>
              <w:bidi w:val="0"/>
              <w:spacing w:before="0" w:beforeAutospacing="0" w:after="0" w:afterAutospacing="0"/>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 w:eastAsia="zh-CN"/>
              </w:rPr>
              <w:t>1.</w:t>
            </w:r>
            <w:r>
              <w:rPr>
                <w:rFonts w:hint="default" w:ascii="Times New Roman" w:hAnsi="Times New Roman" w:eastAsia="仿宋_GB2312" w:cs="Times New Roman"/>
                <w:b w:val="0"/>
                <w:bCs w:val="0"/>
                <w:color w:val="auto"/>
                <w:kern w:val="0"/>
                <w:sz w:val="21"/>
                <w:szCs w:val="21"/>
                <w:lang w:val="en-US" w:eastAsia="zh-CN"/>
              </w:rPr>
              <w:t>《社会保险经办条例》第四十三条  社会保险经办机构发现社会保险服务机构违反服务协议的，可以督促其履行服务协议，按照服务协议约定暂停或者不予拨付费用、追回违规费用、中止相关责任人员或者所在部门涉及社会保险基金使用的社会保险服务，直至解除服务协议；社会保险服务机构及其相关责任人员有权进行陈述、申辩。</w:t>
            </w:r>
          </w:p>
          <w:p>
            <w:pPr>
              <w:keepNext w:val="0"/>
              <w:keepLines w:val="0"/>
              <w:suppressLineNumbers w:val="0"/>
              <w:suppressAutoHyphens/>
              <w:bidi w:val="0"/>
              <w:spacing w:before="0" w:beforeAutospacing="0" w:after="0" w:afterAutospacing="0"/>
              <w:ind w:left="0" w:right="0"/>
              <w:jc w:val="both"/>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 w:eastAsia="zh-CN"/>
              </w:rPr>
              <w:t>2.</w:t>
            </w:r>
            <w:r>
              <w:rPr>
                <w:rFonts w:hint="default" w:ascii="Times New Roman" w:hAnsi="Times New Roman" w:eastAsia="仿宋_GB2312" w:cs="Times New Roman"/>
                <w:b w:val="0"/>
                <w:bCs w:val="0"/>
                <w:color w:val="auto"/>
                <w:kern w:val="0"/>
                <w:sz w:val="21"/>
                <w:szCs w:val="21"/>
                <w:lang w:val="en-US" w:eastAsia="zh-CN"/>
              </w:rPr>
              <w:t>《社会保险经办条例》第四十四条　社会保险经办机构发现用人单位、个人、社会保险服务机构违反社会保险法律、法规、规章的，应当责令改正。对拒不改正或者依法应当由人力资源社会保障行政部门、医疗保障行政部门处理的，及时移交人力资源社会保障行政部门、医疗保障行政部门处理。</w:t>
            </w:r>
          </w:p>
        </w:tc>
        <w:tc>
          <w:tcPr>
            <w:tcW w:w="350"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一般</w:t>
            </w:r>
          </w:p>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检查</w:t>
            </w:r>
          </w:p>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color w:val="auto"/>
                <w:kern w:val="2"/>
                <w:sz w:val="21"/>
                <w:szCs w:val="21"/>
                <w:vertAlign w:val="baseline"/>
                <w:lang w:val="en" w:eastAsia="zh-CN" w:bidi="ar-SA"/>
              </w:rPr>
            </w:pPr>
            <w:r>
              <w:rPr>
                <w:rFonts w:hint="default" w:ascii="Times New Roman" w:hAnsi="Times New Roman" w:eastAsia="仿宋_GB2312" w:cs="Times New Roman"/>
                <w:b w:val="0"/>
                <w:bCs w:val="0"/>
                <w:color w:val="auto"/>
                <w:kern w:val="0"/>
                <w:sz w:val="21"/>
                <w:szCs w:val="21"/>
                <w:lang w:val="en-US" w:eastAsia="zh-CN"/>
              </w:rPr>
              <w:t>事项</w:t>
            </w:r>
          </w:p>
        </w:tc>
      </w:tr>
    </w:tbl>
    <w:p>
      <w:pPr>
        <w:pStyle w:val="2"/>
        <w:rPr>
          <w:rFonts w:hint="default" w:ascii="Times New Roman" w:hAnsi="Times New Roman" w:cs="Times New Roman"/>
          <w:b w:val="0"/>
          <w:bCs w:val="0"/>
          <w:color w:val="auto"/>
        </w:rPr>
      </w:pPr>
    </w:p>
    <w:sectPr>
      <w:footerReference r:id="rId3" w:type="default"/>
      <w:pgSz w:w="16838" w:h="11906" w:orient="landscape"/>
      <w:pgMar w:top="1134" w:right="680" w:bottom="1134" w:left="680" w:header="851" w:footer="624"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extend">
    <w:altName w:val="汉仪仿宋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5910" cy="1397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295910" cy="139700"/>
                      </a:xfrm>
                      <a:prstGeom prst="rect">
                        <a:avLst/>
                      </a:prstGeom>
                      <a:noFill/>
                      <a:ln w="6350">
                        <a:noFill/>
                      </a:ln>
                      <a:effectLst/>
                    </wps:spPr>
                    <wps:txbx>
                      <w:txbxContent>
                        <w:p>
                          <w:pPr>
                            <w:pStyle w:val="1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257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1pt;width:23.3pt;mso-position-horizontal:outside;mso-position-horizontal-relative:margin;mso-wrap-style:none;z-index:251659264;mso-width-relative:page;mso-height-relative:page;" filled="f" stroked="f" coordsize="21600,21600" o:gfxdata="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Lc6PhvSAAAAAwEAAA8AAAAAAAAAAQAgAAAAOAAAAGRycy9kb3ducmV2Lnht&#10;bFBLAQIUABQAAAAIAIdO4kC4jjJzIgIAACcEAAAOAAAAAAAAAAEAIAAAADcBAABkcnMvZTJvRG9j&#10;LnhtbFBLBQYAAAAABgAGAFkBAADLBQAAAAA=&#10;">
              <v:fill on="f" focussize="0,0"/>
              <v:stroke on="f" weight="0.5pt"/>
              <v:imagedata o:title=""/>
              <o:lock v:ext="edit" aspectratio="f"/>
              <v:textbox inset="0mm,0mm,0mm,0mm" style="mso-fit-shape-to-text:t;">
                <w:txbxContent>
                  <w:p>
                    <w:pPr>
                      <w:pStyle w:val="1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257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EE3B8"/>
    <w:multiLevelType w:val="singleLevel"/>
    <w:tmpl w:val="BFFEE3B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hideSpellingErrors/>
  <w:documentProtection w:enforcement="0"/>
  <w:defaultTabStop w:val="420"/>
  <w:drawingGridHorizontalSpacing w:val="105"/>
  <w:drawingGridVerticalSpacing w:val="319"/>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jNjM3NWI5MTNkMWY5OTMxOWNhYmFiZWZmOTA2ZDEifQ=="/>
  </w:docVars>
  <w:rsids>
    <w:rsidRoot w:val="00F90209"/>
    <w:rsid w:val="000024F7"/>
    <w:rsid w:val="00013F17"/>
    <w:rsid w:val="00017408"/>
    <w:rsid w:val="000206BC"/>
    <w:rsid w:val="00031325"/>
    <w:rsid w:val="00035AC2"/>
    <w:rsid w:val="00043788"/>
    <w:rsid w:val="000508E1"/>
    <w:rsid w:val="00054BE1"/>
    <w:rsid w:val="000632DC"/>
    <w:rsid w:val="00063474"/>
    <w:rsid w:val="00075D99"/>
    <w:rsid w:val="00080137"/>
    <w:rsid w:val="0008191A"/>
    <w:rsid w:val="00083550"/>
    <w:rsid w:val="00086D7B"/>
    <w:rsid w:val="000A111A"/>
    <w:rsid w:val="000B67B3"/>
    <w:rsid w:val="000C646F"/>
    <w:rsid w:val="000C7572"/>
    <w:rsid w:val="000D401D"/>
    <w:rsid w:val="000D75B8"/>
    <w:rsid w:val="000E0653"/>
    <w:rsid w:val="000E6496"/>
    <w:rsid w:val="000F719E"/>
    <w:rsid w:val="00111D51"/>
    <w:rsid w:val="00140300"/>
    <w:rsid w:val="00140D1E"/>
    <w:rsid w:val="00143A6F"/>
    <w:rsid w:val="00154217"/>
    <w:rsid w:val="00160249"/>
    <w:rsid w:val="0017366D"/>
    <w:rsid w:val="001741D7"/>
    <w:rsid w:val="00174E30"/>
    <w:rsid w:val="00175F1B"/>
    <w:rsid w:val="001A2803"/>
    <w:rsid w:val="001A512B"/>
    <w:rsid w:val="001B456C"/>
    <w:rsid w:val="001B7218"/>
    <w:rsid w:val="001B7A68"/>
    <w:rsid w:val="001D1122"/>
    <w:rsid w:val="001D34AC"/>
    <w:rsid w:val="001D6C4F"/>
    <w:rsid w:val="001E6190"/>
    <w:rsid w:val="00210DBE"/>
    <w:rsid w:val="00211D2D"/>
    <w:rsid w:val="00222DF0"/>
    <w:rsid w:val="00232FC0"/>
    <w:rsid w:val="002331D6"/>
    <w:rsid w:val="00233982"/>
    <w:rsid w:val="0023525C"/>
    <w:rsid w:val="0023598D"/>
    <w:rsid w:val="0024191A"/>
    <w:rsid w:val="00253896"/>
    <w:rsid w:val="00260F6B"/>
    <w:rsid w:val="0026225C"/>
    <w:rsid w:val="00262C20"/>
    <w:rsid w:val="002644B1"/>
    <w:rsid w:val="00270A78"/>
    <w:rsid w:val="002726B8"/>
    <w:rsid w:val="00295DF9"/>
    <w:rsid w:val="002B3500"/>
    <w:rsid w:val="002C36DE"/>
    <w:rsid w:val="002C47A0"/>
    <w:rsid w:val="002C5D77"/>
    <w:rsid w:val="002E1225"/>
    <w:rsid w:val="002E5809"/>
    <w:rsid w:val="00306AB5"/>
    <w:rsid w:val="00356479"/>
    <w:rsid w:val="00361C6C"/>
    <w:rsid w:val="00366CFF"/>
    <w:rsid w:val="00373068"/>
    <w:rsid w:val="003740E5"/>
    <w:rsid w:val="003744A3"/>
    <w:rsid w:val="00375D95"/>
    <w:rsid w:val="00382921"/>
    <w:rsid w:val="00384A43"/>
    <w:rsid w:val="0039184E"/>
    <w:rsid w:val="0039702C"/>
    <w:rsid w:val="00397547"/>
    <w:rsid w:val="003A6380"/>
    <w:rsid w:val="003D06B4"/>
    <w:rsid w:val="003D1498"/>
    <w:rsid w:val="003D1CEA"/>
    <w:rsid w:val="003D5804"/>
    <w:rsid w:val="003D6D2C"/>
    <w:rsid w:val="003E1598"/>
    <w:rsid w:val="003E3795"/>
    <w:rsid w:val="003F1E9D"/>
    <w:rsid w:val="0040119A"/>
    <w:rsid w:val="004170EF"/>
    <w:rsid w:val="00424CBC"/>
    <w:rsid w:val="004257D1"/>
    <w:rsid w:val="00432866"/>
    <w:rsid w:val="004407AC"/>
    <w:rsid w:val="00441200"/>
    <w:rsid w:val="004437B7"/>
    <w:rsid w:val="004559A8"/>
    <w:rsid w:val="00455BD6"/>
    <w:rsid w:val="00464CD2"/>
    <w:rsid w:val="00483723"/>
    <w:rsid w:val="00487FD9"/>
    <w:rsid w:val="004973EB"/>
    <w:rsid w:val="004A7A24"/>
    <w:rsid w:val="004B1E1B"/>
    <w:rsid w:val="004D1506"/>
    <w:rsid w:val="004E01BF"/>
    <w:rsid w:val="004E450A"/>
    <w:rsid w:val="004F1D2E"/>
    <w:rsid w:val="00525C81"/>
    <w:rsid w:val="00533D6E"/>
    <w:rsid w:val="005470C8"/>
    <w:rsid w:val="00566311"/>
    <w:rsid w:val="005761B3"/>
    <w:rsid w:val="005802C8"/>
    <w:rsid w:val="00583F4C"/>
    <w:rsid w:val="00587050"/>
    <w:rsid w:val="00595378"/>
    <w:rsid w:val="005A054C"/>
    <w:rsid w:val="005A4711"/>
    <w:rsid w:val="005B0013"/>
    <w:rsid w:val="005B3B15"/>
    <w:rsid w:val="005D4147"/>
    <w:rsid w:val="005D7368"/>
    <w:rsid w:val="005E1A99"/>
    <w:rsid w:val="005F1C24"/>
    <w:rsid w:val="00602D5D"/>
    <w:rsid w:val="00607B32"/>
    <w:rsid w:val="006323DC"/>
    <w:rsid w:val="00640FA6"/>
    <w:rsid w:val="00644D0E"/>
    <w:rsid w:val="006511CF"/>
    <w:rsid w:val="00655240"/>
    <w:rsid w:val="0065725F"/>
    <w:rsid w:val="00657EBC"/>
    <w:rsid w:val="00680B06"/>
    <w:rsid w:val="006847A0"/>
    <w:rsid w:val="00685099"/>
    <w:rsid w:val="00687FFA"/>
    <w:rsid w:val="00690F35"/>
    <w:rsid w:val="006A482E"/>
    <w:rsid w:val="006B23BD"/>
    <w:rsid w:val="006B32D3"/>
    <w:rsid w:val="006B4971"/>
    <w:rsid w:val="006C04AB"/>
    <w:rsid w:val="006C37E8"/>
    <w:rsid w:val="006C4F8F"/>
    <w:rsid w:val="006D542A"/>
    <w:rsid w:val="006E4248"/>
    <w:rsid w:val="006E442F"/>
    <w:rsid w:val="006E4F39"/>
    <w:rsid w:val="006E7B3F"/>
    <w:rsid w:val="006F3227"/>
    <w:rsid w:val="006F7DD1"/>
    <w:rsid w:val="00727344"/>
    <w:rsid w:val="00740889"/>
    <w:rsid w:val="00740A7A"/>
    <w:rsid w:val="00745C1D"/>
    <w:rsid w:val="00747748"/>
    <w:rsid w:val="0075038A"/>
    <w:rsid w:val="00752857"/>
    <w:rsid w:val="00755536"/>
    <w:rsid w:val="00755B26"/>
    <w:rsid w:val="00762DF2"/>
    <w:rsid w:val="00763DCC"/>
    <w:rsid w:val="00772C70"/>
    <w:rsid w:val="0078768E"/>
    <w:rsid w:val="007A1ECE"/>
    <w:rsid w:val="007A3CC4"/>
    <w:rsid w:val="007A688B"/>
    <w:rsid w:val="007B0487"/>
    <w:rsid w:val="007B5A64"/>
    <w:rsid w:val="007C77E9"/>
    <w:rsid w:val="007D2A49"/>
    <w:rsid w:val="007D4590"/>
    <w:rsid w:val="007D5781"/>
    <w:rsid w:val="007D6689"/>
    <w:rsid w:val="007F247D"/>
    <w:rsid w:val="007F2ED4"/>
    <w:rsid w:val="00801B1D"/>
    <w:rsid w:val="0080616F"/>
    <w:rsid w:val="00814CE2"/>
    <w:rsid w:val="00817E9E"/>
    <w:rsid w:val="00835E76"/>
    <w:rsid w:val="00836418"/>
    <w:rsid w:val="00844A1C"/>
    <w:rsid w:val="00853B98"/>
    <w:rsid w:val="008621C5"/>
    <w:rsid w:val="00863BDB"/>
    <w:rsid w:val="008734DA"/>
    <w:rsid w:val="00874093"/>
    <w:rsid w:val="00874E98"/>
    <w:rsid w:val="008768E8"/>
    <w:rsid w:val="00893A50"/>
    <w:rsid w:val="008B1899"/>
    <w:rsid w:val="008B1B92"/>
    <w:rsid w:val="008B3E6F"/>
    <w:rsid w:val="008B555F"/>
    <w:rsid w:val="008C6AB3"/>
    <w:rsid w:val="008E143E"/>
    <w:rsid w:val="008E27B6"/>
    <w:rsid w:val="008E377F"/>
    <w:rsid w:val="008E5D67"/>
    <w:rsid w:val="008E6A7A"/>
    <w:rsid w:val="008F6C3D"/>
    <w:rsid w:val="00900C95"/>
    <w:rsid w:val="00905B73"/>
    <w:rsid w:val="00907461"/>
    <w:rsid w:val="00912D44"/>
    <w:rsid w:val="00913F93"/>
    <w:rsid w:val="00916150"/>
    <w:rsid w:val="0092030C"/>
    <w:rsid w:val="00933AB3"/>
    <w:rsid w:val="0093620E"/>
    <w:rsid w:val="00936FF9"/>
    <w:rsid w:val="00937975"/>
    <w:rsid w:val="0094466B"/>
    <w:rsid w:val="009557A7"/>
    <w:rsid w:val="00962CC8"/>
    <w:rsid w:val="009666BC"/>
    <w:rsid w:val="00975784"/>
    <w:rsid w:val="00993E80"/>
    <w:rsid w:val="009C2A78"/>
    <w:rsid w:val="009D5EE9"/>
    <w:rsid w:val="009E5EA6"/>
    <w:rsid w:val="009F23FB"/>
    <w:rsid w:val="009F384C"/>
    <w:rsid w:val="00A05100"/>
    <w:rsid w:val="00A205C5"/>
    <w:rsid w:val="00A23C59"/>
    <w:rsid w:val="00A33CAB"/>
    <w:rsid w:val="00A54F9F"/>
    <w:rsid w:val="00A712DF"/>
    <w:rsid w:val="00A80715"/>
    <w:rsid w:val="00A84AF0"/>
    <w:rsid w:val="00A85B7E"/>
    <w:rsid w:val="00A872B9"/>
    <w:rsid w:val="00AA7423"/>
    <w:rsid w:val="00AB5F63"/>
    <w:rsid w:val="00AC191B"/>
    <w:rsid w:val="00AD37BF"/>
    <w:rsid w:val="00AE0F11"/>
    <w:rsid w:val="00AE0F9B"/>
    <w:rsid w:val="00AE4772"/>
    <w:rsid w:val="00B0507F"/>
    <w:rsid w:val="00B17744"/>
    <w:rsid w:val="00B2090D"/>
    <w:rsid w:val="00B276BE"/>
    <w:rsid w:val="00B448CF"/>
    <w:rsid w:val="00B450B7"/>
    <w:rsid w:val="00B45913"/>
    <w:rsid w:val="00B51806"/>
    <w:rsid w:val="00B65512"/>
    <w:rsid w:val="00B724E8"/>
    <w:rsid w:val="00BB580D"/>
    <w:rsid w:val="00BD455C"/>
    <w:rsid w:val="00BD59C1"/>
    <w:rsid w:val="00BD63AF"/>
    <w:rsid w:val="00BF505B"/>
    <w:rsid w:val="00C042D0"/>
    <w:rsid w:val="00C07584"/>
    <w:rsid w:val="00C10134"/>
    <w:rsid w:val="00C1376F"/>
    <w:rsid w:val="00C26C70"/>
    <w:rsid w:val="00C40D0A"/>
    <w:rsid w:val="00C4655E"/>
    <w:rsid w:val="00C51648"/>
    <w:rsid w:val="00C60EEE"/>
    <w:rsid w:val="00C7209A"/>
    <w:rsid w:val="00C730D2"/>
    <w:rsid w:val="00C82A79"/>
    <w:rsid w:val="00C85FEE"/>
    <w:rsid w:val="00C9000D"/>
    <w:rsid w:val="00C94C3F"/>
    <w:rsid w:val="00C96115"/>
    <w:rsid w:val="00CA066C"/>
    <w:rsid w:val="00CA2EE9"/>
    <w:rsid w:val="00CA4C15"/>
    <w:rsid w:val="00CB0A88"/>
    <w:rsid w:val="00CC0C98"/>
    <w:rsid w:val="00CC0F57"/>
    <w:rsid w:val="00CC4E8E"/>
    <w:rsid w:val="00CC6865"/>
    <w:rsid w:val="00CD0DD3"/>
    <w:rsid w:val="00CD66E3"/>
    <w:rsid w:val="00CD775A"/>
    <w:rsid w:val="00CE0B33"/>
    <w:rsid w:val="00CE0FFE"/>
    <w:rsid w:val="00CF1B05"/>
    <w:rsid w:val="00CF6610"/>
    <w:rsid w:val="00CF71E5"/>
    <w:rsid w:val="00D06215"/>
    <w:rsid w:val="00D0702A"/>
    <w:rsid w:val="00D1193B"/>
    <w:rsid w:val="00D205B9"/>
    <w:rsid w:val="00D22F19"/>
    <w:rsid w:val="00D231EB"/>
    <w:rsid w:val="00D2648B"/>
    <w:rsid w:val="00D26E95"/>
    <w:rsid w:val="00D3386A"/>
    <w:rsid w:val="00D36BF0"/>
    <w:rsid w:val="00D40584"/>
    <w:rsid w:val="00D51133"/>
    <w:rsid w:val="00D54C53"/>
    <w:rsid w:val="00D56E9B"/>
    <w:rsid w:val="00D64569"/>
    <w:rsid w:val="00D80C72"/>
    <w:rsid w:val="00D8491F"/>
    <w:rsid w:val="00D84F8F"/>
    <w:rsid w:val="00D97B81"/>
    <w:rsid w:val="00DA505A"/>
    <w:rsid w:val="00DB00CF"/>
    <w:rsid w:val="00DB0516"/>
    <w:rsid w:val="00DB76B2"/>
    <w:rsid w:val="00DC50F2"/>
    <w:rsid w:val="00DD5540"/>
    <w:rsid w:val="00DD5A96"/>
    <w:rsid w:val="00DE0016"/>
    <w:rsid w:val="00DE3A86"/>
    <w:rsid w:val="00DE4AA4"/>
    <w:rsid w:val="00DF6DE2"/>
    <w:rsid w:val="00E13EC0"/>
    <w:rsid w:val="00E140D4"/>
    <w:rsid w:val="00E14621"/>
    <w:rsid w:val="00E361B4"/>
    <w:rsid w:val="00E454A9"/>
    <w:rsid w:val="00E67FF3"/>
    <w:rsid w:val="00E87311"/>
    <w:rsid w:val="00E905F4"/>
    <w:rsid w:val="00E96CA3"/>
    <w:rsid w:val="00EA335D"/>
    <w:rsid w:val="00EB120C"/>
    <w:rsid w:val="00EB527F"/>
    <w:rsid w:val="00EB77D5"/>
    <w:rsid w:val="00EC427C"/>
    <w:rsid w:val="00EC5E5F"/>
    <w:rsid w:val="00EC729E"/>
    <w:rsid w:val="00EC7349"/>
    <w:rsid w:val="00EF2F69"/>
    <w:rsid w:val="00EF6193"/>
    <w:rsid w:val="00F16030"/>
    <w:rsid w:val="00F323AC"/>
    <w:rsid w:val="00F336A8"/>
    <w:rsid w:val="00F408D5"/>
    <w:rsid w:val="00F52701"/>
    <w:rsid w:val="00F70B98"/>
    <w:rsid w:val="00F90209"/>
    <w:rsid w:val="00F92E8C"/>
    <w:rsid w:val="00F93D99"/>
    <w:rsid w:val="00FA0131"/>
    <w:rsid w:val="00FA058E"/>
    <w:rsid w:val="00FA3218"/>
    <w:rsid w:val="00FA3DA9"/>
    <w:rsid w:val="00FB0914"/>
    <w:rsid w:val="00FB51F8"/>
    <w:rsid w:val="00FD05AE"/>
    <w:rsid w:val="00FD0E4B"/>
    <w:rsid w:val="00FD5DCD"/>
    <w:rsid w:val="00FD7A96"/>
    <w:rsid w:val="00FE4E52"/>
    <w:rsid w:val="00FF2D7A"/>
    <w:rsid w:val="02C3660A"/>
    <w:rsid w:val="034B6689"/>
    <w:rsid w:val="03A65BFB"/>
    <w:rsid w:val="03AF5DAB"/>
    <w:rsid w:val="03D11555"/>
    <w:rsid w:val="03DB197F"/>
    <w:rsid w:val="03FA051D"/>
    <w:rsid w:val="040610F7"/>
    <w:rsid w:val="04194CE4"/>
    <w:rsid w:val="04697A4E"/>
    <w:rsid w:val="049E10D5"/>
    <w:rsid w:val="04F82F5B"/>
    <w:rsid w:val="058461CE"/>
    <w:rsid w:val="058B1B02"/>
    <w:rsid w:val="059D13BB"/>
    <w:rsid w:val="059E2931"/>
    <w:rsid w:val="05E40D68"/>
    <w:rsid w:val="066B3E03"/>
    <w:rsid w:val="06EAFA06"/>
    <w:rsid w:val="07083767"/>
    <w:rsid w:val="07327D01"/>
    <w:rsid w:val="07551688"/>
    <w:rsid w:val="076E23BE"/>
    <w:rsid w:val="078F3950"/>
    <w:rsid w:val="07AC249D"/>
    <w:rsid w:val="07CE15A3"/>
    <w:rsid w:val="07D37D19"/>
    <w:rsid w:val="08692828"/>
    <w:rsid w:val="086C52CB"/>
    <w:rsid w:val="08742ACA"/>
    <w:rsid w:val="087C56D7"/>
    <w:rsid w:val="08C236DF"/>
    <w:rsid w:val="0930757E"/>
    <w:rsid w:val="094B14D9"/>
    <w:rsid w:val="09861CDB"/>
    <w:rsid w:val="099B37B7"/>
    <w:rsid w:val="09BF699D"/>
    <w:rsid w:val="09C82A59"/>
    <w:rsid w:val="09DE4B7B"/>
    <w:rsid w:val="0A1C43D1"/>
    <w:rsid w:val="0A1F5D0C"/>
    <w:rsid w:val="0A616A0E"/>
    <w:rsid w:val="0A8930DA"/>
    <w:rsid w:val="0AB614DF"/>
    <w:rsid w:val="0AE26006"/>
    <w:rsid w:val="0B330D82"/>
    <w:rsid w:val="0B4D654C"/>
    <w:rsid w:val="0B5F2D63"/>
    <w:rsid w:val="0B801B16"/>
    <w:rsid w:val="0B964B9B"/>
    <w:rsid w:val="0BA44FE2"/>
    <w:rsid w:val="0BD40458"/>
    <w:rsid w:val="0BDF69A0"/>
    <w:rsid w:val="0BE022E6"/>
    <w:rsid w:val="0BF56A8D"/>
    <w:rsid w:val="0C4C69F0"/>
    <w:rsid w:val="0C9157D1"/>
    <w:rsid w:val="0CDEA239"/>
    <w:rsid w:val="0D2544F1"/>
    <w:rsid w:val="0D2858D1"/>
    <w:rsid w:val="0D302AE7"/>
    <w:rsid w:val="0D401B7F"/>
    <w:rsid w:val="0DBD56B6"/>
    <w:rsid w:val="0E5B7C11"/>
    <w:rsid w:val="0E6B4DA5"/>
    <w:rsid w:val="0E7C1A52"/>
    <w:rsid w:val="0EA25979"/>
    <w:rsid w:val="0EF11D28"/>
    <w:rsid w:val="0EFDC1C1"/>
    <w:rsid w:val="0FB56BE5"/>
    <w:rsid w:val="0FDE1697"/>
    <w:rsid w:val="10054DA1"/>
    <w:rsid w:val="103F39B5"/>
    <w:rsid w:val="104315CA"/>
    <w:rsid w:val="104D1AA9"/>
    <w:rsid w:val="10611EED"/>
    <w:rsid w:val="10C448C4"/>
    <w:rsid w:val="110714AD"/>
    <w:rsid w:val="118D462A"/>
    <w:rsid w:val="119C514D"/>
    <w:rsid w:val="121338BB"/>
    <w:rsid w:val="121E5815"/>
    <w:rsid w:val="122F5D37"/>
    <w:rsid w:val="12562CFF"/>
    <w:rsid w:val="12745020"/>
    <w:rsid w:val="12866FF3"/>
    <w:rsid w:val="12D82EBC"/>
    <w:rsid w:val="12E4526C"/>
    <w:rsid w:val="13667BEF"/>
    <w:rsid w:val="139879AC"/>
    <w:rsid w:val="13AB3638"/>
    <w:rsid w:val="13D574CF"/>
    <w:rsid w:val="13E26DBC"/>
    <w:rsid w:val="13EA3DF6"/>
    <w:rsid w:val="143A3F84"/>
    <w:rsid w:val="14660B6A"/>
    <w:rsid w:val="14881103"/>
    <w:rsid w:val="148F1947"/>
    <w:rsid w:val="14D87CEE"/>
    <w:rsid w:val="14FE18A1"/>
    <w:rsid w:val="153674B6"/>
    <w:rsid w:val="153C502E"/>
    <w:rsid w:val="157C59CB"/>
    <w:rsid w:val="15D61A45"/>
    <w:rsid w:val="16155F09"/>
    <w:rsid w:val="163B2CE4"/>
    <w:rsid w:val="1645615A"/>
    <w:rsid w:val="165868A4"/>
    <w:rsid w:val="167B7F56"/>
    <w:rsid w:val="169326D4"/>
    <w:rsid w:val="16936A19"/>
    <w:rsid w:val="16CC29B1"/>
    <w:rsid w:val="1752B1E1"/>
    <w:rsid w:val="1769E90A"/>
    <w:rsid w:val="17BC59E9"/>
    <w:rsid w:val="17D24AE3"/>
    <w:rsid w:val="17F879F4"/>
    <w:rsid w:val="1808242A"/>
    <w:rsid w:val="181F6171"/>
    <w:rsid w:val="18C01310"/>
    <w:rsid w:val="18C019A8"/>
    <w:rsid w:val="19085B50"/>
    <w:rsid w:val="19321CFE"/>
    <w:rsid w:val="19335D06"/>
    <w:rsid w:val="19752CF5"/>
    <w:rsid w:val="1989277C"/>
    <w:rsid w:val="19CF0DFA"/>
    <w:rsid w:val="19CF1F8B"/>
    <w:rsid w:val="1A165469"/>
    <w:rsid w:val="1A1669B2"/>
    <w:rsid w:val="1A197A34"/>
    <w:rsid w:val="1A6326F3"/>
    <w:rsid w:val="1A7070D8"/>
    <w:rsid w:val="1A9C0846"/>
    <w:rsid w:val="1AA06864"/>
    <w:rsid w:val="1AA31384"/>
    <w:rsid w:val="1AD1301B"/>
    <w:rsid w:val="1ADC15C5"/>
    <w:rsid w:val="1AF21242"/>
    <w:rsid w:val="1B653DF6"/>
    <w:rsid w:val="1B9A6240"/>
    <w:rsid w:val="1BB5488D"/>
    <w:rsid w:val="1BBE5895"/>
    <w:rsid w:val="1C237061"/>
    <w:rsid w:val="1C3E2EA6"/>
    <w:rsid w:val="1C4D2A6D"/>
    <w:rsid w:val="1C6B7772"/>
    <w:rsid w:val="1C721ABF"/>
    <w:rsid w:val="1C9156A4"/>
    <w:rsid w:val="1CA136AD"/>
    <w:rsid w:val="1CF20AF0"/>
    <w:rsid w:val="1D16051B"/>
    <w:rsid w:val="1D3A1E2F"/>
    <w:rsid w:val="1DB9388B"/>
    <w:rsid w:val="1DD42EEE"/>
    <w:rsid w:val="1DEF6AB3"/>
    <w:rsid w:val="1E1B1897"/>
    <w:rsid w:val="1E491246"/>
    <w:rsid w:val="1E4E64B0"/>
    <w:rsid w:val="1E721E11"/>
    <w:rsid w:val="1E9B72C9"/>
    <w:rsid w:val="1EE13174"/>
    <w:rsid w:val="1F3D2A39"/>
    <w:rsid w:val="1F493B56"/>
    <w:rsid w:val="1F78FFEA"/>
    <w:rsid w:val="1F7DF9A3"/>
    <w:rsid w:val="1F7FF7A0"/>
    <w:rsid w:val="1FDF2927"/>
    <w:rsid w:val="1FEF90F1"/>
    <w:rsid w:val="1FF70A23"/>
    <w:rsid w:val="201D6C97"/>
    <w:rsid w:val="20284983"/>
    <w:rsid w:val="203B6BB2"/>
    <w:rsid w:val="20747EDD"/>
    <w:rsid w:val="20AF635B"/>
    <w:rsid w:val="20D93A32"/>
    <w:rsid w:val="21062917"/>
    <w:rsid w:val="213B5B57"/>
    <w:rsid w:val="213C2B09"/>
    <w:rsid w:val="21426460"/>
    <w:rsid w:val="21635FF9"/>
    <w:rsid w:val="21716A56"/>
    <w:rsid w:val="218A3C21"/>
    <w:rsid w:val="21B71D80"/>
    <w:rsid w:val="227FF9BF"/>
    <w:rsid w:val="22DE168D"/>
    <w:rsid w:val="22E21665"/>
    <w:rsid w:val="22FF5E48"/>
    <w:rsid w:val="23C01353"/>
    <w:rsid w:val="23CB2A61"/>
    <w:rsid w:val="23D65E2A"/>
    <w:rsid w:val="23F53115"/>
    <w:rsid w:val="241B6A8D"/>
    <w:rsid w:val="244202FA"/>
    <w:rsid w:val="24D6060C"/>
    <w:rsid w:val="24DB6884"/>
    <w:rsid w:val="24DC38B1"/>
    <w:rsid w:val="24E237A2"/>
    <w:rsid w:val="24E73C59"/>
    <w:rsid w:val="24ED23DD"/>
    <w:rsid w:val="24F21039"/>
    <w:rsid w:val="25076B1E"/>
    <w:rsid w:val="25CC0D48"/>
    <w:rsid w:val="25CC58F0"/>
    <w:rsid w:val="25DC4C61"/>
    <w:rsid w:val="25DE672E"/>
    <w:rsid w:val="25EE0530"/>
    <w:rsid w:val="262D7AFF"/>
    <w:rsid w:val="26D06E53"/>
    <w:rsid w:val="27101440"/>
    <w:rsid w:val="272F57D2"/>
    <w:rsid w:val="27897E26"/>
    <w:rsid w:val="27C3497F"/>
    <w:rsid w:val="27D7030F"/>
    <w:rsid w:val="27EFEAB7"/>
    <w:rsid w:val="282F1270"/>
    <w:rsid w:val="28480D6C"/>
    <w:rsid w:val="28977D2F"/>
    <w:rsid w:val="28A42054"/>
    <w:rsid w:val="28B9246E"/>
    <w:rsid w:val="291E616D"/>
    <w:rsid w:val="294556AE"/>
    <w:rsid w:val="299C313B"/>
    <w:rsid w:val="2A353907"/>
    <w:rsid w:val="2AA76347"/>
    <w:rsid w:val="2ADD31BF"/>
    <w:rsid w:val="2AF634E7"/>
    <w:rsid w:val="2B0058E8"/>
    <w:rsid w:val="2B19061D"/>
    <w:rsid w:val="2B1A7291"/>
    <w:rsid w:val="2B576ABF"/>
    <w:rsid w:val="2B6964B3"/>
    <w:rsid w:val="2B6C004D"/>
    <w:rsid w:val="2B8F7F7F"/>
    <w:rsid w:val="2BE554DC"/>
    <w:rsid w:val="2C1B4D05"/>
    <w:rsid w:val="2CBF4379"/>
    <w:rsid w:val="2CCE467E"/>
    <w:rsid w:val="2D1112E0"/>
    <w:rsid w:val="2D2FA59C"/>
    <w:rsid w:val="2D5BCF44"/>
    <w:rsid w:val="2D7C5003"/>
    <w:rsid w:val="2D9C6846"/>
    <w:rsid w:val="2DBF6A2B"/>
    <w:rsid w:val="2DC156B7"/>
    <w:rsid w:val="2DCA6419"/>
    <w:rsid w:val="2DCB19EC"/>
    <w:rsid w:val="2E440BDB"/>
    <w:rsid w:val="2E5B77B6"/>
    <w:rsid w:val="2E94738B"/>
    <w:rsid w:val="2EA971D5"/>
    <w:rsid w:val="2EC769EB"/>
    <w:rsid w:val="2ECF4A80"/>
    <w:rsid w:val="2ED95DA5"/>
    <w:rsid w:val="2EF90C6F"/>
    <w:rsid w:val="2F3B2B9F"/>
    <w:rsid w:val="2F607FE3"/>
    <w:rsid w:val="2F706FF5"/>
    <w:rsid w:val="2F9175A4"/>
    <w:rsid w:val="2FA79B27"/>
    <w:rsid w:val="2FED8F76"/>
    <w:rsid w:val="2FFDA33F"/>
    <w:rsid w:val="2FFE0632"/>
    <w:rsid w:val="303C0365"/>
    <w:rsid w:val="30DE1EB0"/>
    <w:rsid w:val="30F943E9"/>
    <w:rsid w:val="310416A6"/>
    <w:rsid w:val="31121E81"/>
    <w:rsid w:val="31190B77"/>
    <w:rsid w:val="315563F0"/>
    <w:rsid w:val="316A7981"/>
    <w:rsid w:val="317F9BE9"/>
    <w:rsid w:val="31C226E8"/>
    <w:rsid w:val="323E6750"/>
    <w:rsid w:val="32425283"/>
    <w:rsid w:val="328D064A"/>
    <w:rsid w:val="329859F1"/>
    <w:rsid w:val="32C20F78"/>
    <w:rsid w:val="32EF427B"/>
    <w:rsid w:val="32EFC851"/>
    <w:rsid w:val="33286EAF"/>
    <w:rsid w:val="337E6E6B"/>
    <w:rsid w:val="33935FC3"/>
    <w:rsid w:val="33D0560A"/>
    <w:rsid w:val="33E54871"/>
    <w:rsid w:val="340F7C77"/>
    <w:rsid w:val="34223941"/>
    <w:rsid w:val="345E2552"/>
    <w:rsid w:val="347B5761"/>
    <w:rsid w:val="34934547"/>
    <w:rsid w:val="34A62E9C"/>
    <w:rsid w:val="35126184"/>
    <w:rsid w:val="35D33437"/>
    <w:rsid w:val="35E4F1BA"/>
    <w:rsid w:val="360F30B0"/>
    <w:rsid w:val="366A72CE"/>
    <w:rsid w:val="367C2B46"/>
    <w:rsid w:val="367C2E2C"/>
    <w:rsid w:val="36ABFAEB"/>
    <w:rsid w:val="36BD203A"/>
    <w:rsid w:val="36EB70A5"/>
    <w:rsid w:val="36FC75E4"/>
    <w:rsid w:val="372F748D"/>
    <w:rsid w:val="376926D2"/>
    <w:rsid w:val="37E2949B"/>
    <w:rsid w:val="37FB372C"/>
    <w:rsid w:val="385C177A"/>
    <w:rsid w:val="386938ED"/>
    <w:rsid w:val="38762778"/>
    <w:rsid w:val="38AB3AC7"/>
    <w:rsid w:val="38B84243"/>
    <w:rsid w:val="38CB6425"/>
    <w:rsid w:val="39361359"/>
    <w:rsid w:val="397FDB84"/>
    <w:rsid w:val="3A01189C"/>
    <w:rsid w:val="3A1D2392"/>
    <w:rsid w:val="3A8D6BD4"/>
    <w:rsid w:val="3AC71452"/>
    <w:rsid w:val="3AFF0846"/>
    <w:rsid w:val="3B050C4E"/>
    <w:rsid w:val="3B1E4783"/>
    <w:rsid w:val="3B236D31"/>
    <w:rsid w:val="3B627C03"/>
    <w:rsid w:val="3B8A77F1"/>
    <w:rsid w:val="3BBB6037"/>
    <w:rsid w:val="3BD79FEF"/>
    <w:rsid w:val="3C4927B3"/>
    <w:rsid w:val="3C6C2D3C"/>
    <w:rsid w:val="3C966C83"/>
    <w:rsid w:val="3C9B426A"/>
    <w:rsid w:val="3CDC6DD5"/>
    <w:rsid w:val="3DC01731"/>
    <w:rsid w:val="3DD4D1BD"/>
    <w:rsid w:val="3DF336A0"/>
    <w:rsid w:val="3DFF71EC"/>
    <w:rsid w:val="3E102450"/>
    <w:rsid w:val="3E5B0E75"/>
    <w:rsid w:val="3E79F444"/>
    <w:rsid w:val="3E8E16F6"/>
    <w:rsid w:val="3E8F47E5"/>
    <w:rsid w:val="3EDD217E"/>
    <w:rsid w:val="3EE35FF3"/>
    <w:rsid w:val="3EEFBBCD"/>
    <w:rsid w:val="3EFF90A7"/>
    <w:rsid w:val="3F0046C6"/>
    <w:rsid w:val="3F376F24"/>
    <w:rsid w:val="3F55571A"/>
    <w:rsid w:val="3F77391F"/>
    <w:rsid w:val="3F7FE177"/>
    <w:rsid w:val="3F820434"/>
    <w:rsid w:val="3FA736C2"/>
    <w:rsid w:val="3FAC9145"/>
    <w:rsid w:val="3FD54C31"/>
    <w:rsid w:val="3FD77B5A"/>
    <w:rsid w:val="3FE66CF1"/>
    <w:rsid w:val="3FED2850"/>
    <w:rsid w:val="3FEE120F"/>
    <w:rsid w:val="400C3160"/>
    <w:rsid w:val="4021606C"/>
    <w:rsid w:val="406750D6"/>
    <w:rsid w:val="40776EB7"/>
    <w:rsid w:val="409749EB"/>
    <w:rsid w:val="410F7E79"/>
    <w:rsid w:val="414C6DED"/>
    <w:rsid w:val="41527752"/>
    <w:rsid w:val="41893B97"/>
    <w:rsid w:val="41935569"/>
    <w:rsid w:val="419E68C6"/>
    <w:rsid w:val="41C7438E"/>
    <w:rsid w:val="41EF7CE4"/>
    <w:rsid w:val="42056EC0"/>
    <w:rsid w:val="42074F46"/>
    <w:rsid w:val="42402F6D"/>
    <w:rsid w:val="42B309B7"/>
    <w:rsid w:val="430164D5"/>
    <w:rsid w:val="43197798"/>
    <w:rsid w:val="43875D22"/>
    <w:rsid w:val="43911B00"/>
    <w:rsid w:val="439A4E75"/>
    <w:rsid w:val="43A94C1B"/>
    <w:rsid w:val="43CC7013"/>
    <w:rsid w:val="43E74CC9"/>
    <w:rsid w:val="43F17607"/>
    <w:rsid w:val="449733A8"/>
    <w:rsid w:val="44E71E86"/>
    <w:rsid w:val="45127A03"/>
    <w:rsid w:val="451E3F37"/>
    <w:rsid w:val="45AD7252"/>
    <w:rsid w:val="45C73E8E"/>
    <w:rsid w:val="45C95FD1"/>
    <w:rsid w:val="463C1DA6"/>
    <w:rsid w:val="464473C4"/>
    <w:rsid w:val="4664263D"/>
    <w:rsid w:val="4744672B"/>
    <w:rsid w:val="476743A5"/>
    <w:rsid w:val="476E6C08"/>
    <w:rsid w:val="47904472"/>
    <w:rsid w:val="47926449"/>
    <w:rsid w:val="47F141D6"/>
    <w:rsid w:val="48464FD6"/>
    <w:rsid w:val="48CD2157"/>
    <w:rsid w:val="491112AD"/>
    <w:rsid w:val="49177549"/>
    <w:rsid w:val="49706894"/>
    <w:rsid w:val="49867CF3"/>
    <w:rsid w:val="49A470F1"/>
    <w:rsid w:val="49BB2C90"/>
    <w:rsid w:val="4A5B223C"/>
    <w:rsid w:val="4AB57A6A"/>
    <w:rsid w:val="4AC91087"/>
    <w:rsid w:val="4AD10931"/>
    <w:rsid w:val="4B292E09"/>
    <w:rsid w:val="4B696CB2"/>
    <w:rsid w:val="4B8E1625"/>
    <w:rsid w:val="4C1433ED"/>
    <w:rsid w:val="4C3D418F"/>
    <w:rsid w:val="4C4801F7"/>
    <w:rsid w:val="4CA0288C"/>
    <w:rsid w:val="4CA610B8"/>
    <w:rsid w:val="4CC2485A"/>
    <w:rsid w:val="4CC776F5"/>
    <w:rsid w:val="4CD65EB8"/>
    <w:rsid w:val="4CE80F79"/>
    <w:rsid w:val="4D297313"/>
    <w:rsid w:val="4D5B0BA6"/>
    <w:rsid w:val="4DDB89DD"/>
    <w:rsid w:val="4E0B76E9"/>
    <w:rsid w:val="4E487D18"/>
    <w:rsid w:val="4E9B406A"/>
    <w:rsid w:val="4ECD2A47"/>
    <w:rsid w:val="4F61699F"/>
    <w:rsid w:val="4F663002"/>
    <w:rsid w:val="4F7D563A"/>
    <w:rsid w:val="4FF0EE7B"/>
    <w:rsid w:val="4FFF7437"/>
    <w:rsid w:val="50146603"/>
    <w:rsid w:val="50592F7B"/>
    <w:rsid w:val="50D440DA"/>
    <w:rsid w:val="50F061B7"/>
    <w:rsid w:val="51790BF2"/>
    <w:rsid w:val="519608DC"/>
    <w:rsid w:val="51BA0598"/>
    <w:rsid w:val="51BD75C8"/>
    <w:rsid w:val="51C837E1"/>
    <w:rsid w:val="51CD59CC"/>
    <w:rsid w:val="51F92B65"/>
    <w:rsid w:val="52695689"/>
    <w:rsid w:val="529C15EC"/>
    <w:rsid w:val="52E66F0E"/>
    <w:rsid w:val="52E74826"/>
    <w:rsid w:val="52F36EF9"/>
    <w:rsid w:val="536D7069"/>
    <w:rsid w:val="53CA23A1"/>
    <w:rsid w:val="53D7BA66"/>
    <w:rsid w:val="53D9568A"/>
    <w:rsid w:val="53E11D1F"/>
    <w:rsid w:val="53F02765"/>
    <w:rsid w:val="53F79F9C"/>
    <w:rsid w:val="542009B0"/>
    <w:rsid w:val="542708F7"/>
    <w:rsid w:val="54510367"/>
    <w:rsid w:val="54AD624C"/>
    <w:rsid w:val="54E11178"/>
    <w:rsid w:val="54FAAB33"/>
    <w:rsid w:val="551335A4"/>
    <w:rsid w:val="55250B48"/>
    <w:rsid w:val="55293C0E"/>
    <w:rsid w:val="55A03472"/>
    <w:rsid w:val="55B83DE7"/>
    <w:rsid w:val="55BE222E"/>
    <w:rsid w:val="55C0633B"/>
    <w:rsid w:val="55FB1A81"/>
    <w:rsid w:val="56290836"/>
    <w:rsid w:val="565D07CF"/>
    <w:rsid w:val="56735ACE"/>
    <w:rsid w:val="56A7DBCE"/>
    <w:rsid w:val="56AC0BB8"/>
    <w:rsid w:val="56C86544"/>
    <w:rsid w:val="56EECDAD"/>
    <w:rsid w:val="56F1656F"/>
    <w:rsid w:val="56FA30B2"/>
    <w:rsid w:val="570B2452"/>
    <w:rsid w:val="57296E6F"/>
    <w:rsid w:val="5770460A"/>
    <w:rsid w:val="577A4543"/>
    <w:rsid w:val="5788233B"/>
    <w:rsid w:val="579F0982"/>
    <w:rsid w:val="57E19C78"/>
    <w:rsid w:val="57FF142A"/>
    <w:rsid w:val="57FF2C76"/>
    <w:rsid w:val="583A5D4B"/>
    <w:rsid w:val="583F459E"/>
    <w:rsid w:val="586662E8"/>
    <w:rsid w:val="58884733"/>
    <w:rsid w:val="58F627BA"/>
    <w:rsid w:val="5971764A"/>
    <w:rsid w:val="59A5044D"/>
    <w:rsid w:val="59BE707A"/>
    <w:rsid w:val="59CA3C03"/>
    <w:rsid w:val="5A674602"/>
    <w:rsid w:val="5A7F8676"/>
    <w:rsid w:val="5AAA2E41"/>
    <w:rsid w:val="5AC643F3"/>
    <w:rsid w:val="5AF572ED"/>
    <w:rsid w:val="5B437AB9"/>
    <w:rsid w:val="5B440A11"/>
    <w:rsid w:val="5B6C14E7"/>
    <w:rsid w:val="5B8D3DBA"/>
    <w:rsid w:val="5B921F79"/>
    <w:rsid w:val="5B9E21AF"/>
    <w:rsid w:val="5BC770E9"/>
    <w:rsid w:val="5BEF2E0E"/>
    <w:rsid w:val="5BEF4496"/>
    <w:rsid w:val="5BFF718D"/>
    <w:rsid w:val="5C1211B9"/>
    <w:rsid w:val="5C732647"/>
    <w:rsid w:val="5C770B49"/>
    <w:rsid w:val="5C7D4A59"/>
    <w:rsid w:val="5C8778FB"/>
    <w:rsid w:val="5CBB333C"/>
    <w:rsid w:val="5CCB5D4F"/>
    <w:rsid w:val="5CDD60BC"/>
    <w:rsid w:val="5D73521A"/>
    <w:rsid w:val="5D9551E9"/>
    <w:rsid w:val="5D9F36E6"/>
    <w:rsid w:val="5DC50E35"/>
    <w:rsid w:val="5DFD76C0"/>
    <w:rsid w:val="5DFE3402"/>
    <w:rsid w:val="5EFAEE2A"/>
    <w:rsid w:val="5F7342B0"/>
    <w:rsid w:val="5F7CF58B"/>
    <w:rsid w:val="5FBABDE0"/>
    <w:rsid w:val="5FBB26C6"/>
    <w:rsid w:val="5FBEE30E"/>
    <w:rsid w:val="5FDE8454"/>
    <w:rsid w:val="5FDF37A2"/>
    <w:rsid w:val="5FE14C4B"/>
    <w:rsid w:val="5FFC9146"/>
    <w:rsid w:val="5FFCAF94"/>
    <w:rsid w:val="5FFDF7DF"/>
    <w:rsid w:val="5FFEF34F"/>
    <w:rsid w:val="601902C3"/>
    <w:rsid w:val="605A575E"/>
    <w:rsid w:val="60601D2C"/>
    <w:rsid w:val="60691C3D"/>
    <w:rsid w:val="607B0A4E"/>
    <w:rsid w:val="60930A88"/>
    <w:rsid w:val="60D8180A"/>
    <w:rsid w:val="618E41D8"/>
    <w:rsid w:val="61D928CA"/>
    <w:rsid w:val="61DAC11E"/>
    <w:rsid w:val="61FF5819"/>
    <w:rsid w:val="624A4381"/>
    <w:rsid w:val="62F39C66"/>
    <w:rsid w:val="63101487"/>
    <w:rsid w:val="63265756"/>
    <w:rsid w:val="636C1567"/>
    <w:rsid w:val="63BC7655"/>
    <w:rsid w:val="63DD0497"/>
    <w:rsid w:val="63FE21FF"/>
    <w:rsid w:val="643A347F"/>
    <w:rsid w:val="64432611"/>
    <w:rsid w:val="648747CF"/>
    <w:rsid w:val="64D057D6"/>
    <w:rsid w:val="64F7774F"/>
    <w:rsid w:val="654C69B3"/>
    <w:rsid w:val="65844385"/>
    <w:rsid w:val="65D76309"/>
    <w:rsid w:val="65F22703"/>
    <w:rsid w:val="65FB7F2C"/>
    <w:rsid w:val="66010B6B"/>
    <w:rsid w:val="66171C9C"/>
    <w:rsid w:val="662F1566"/>
    <w:rsid w:val="664904C2"/>
    <w:rsid w:val="66966308"/>
    <w:rsid w:val="66E74719"/>
    <w:rsid w:val="67103CD3"/>
    <w:rsid w:val="676709A6"/>
    <w:rsid w:val="67AE667E"/>
    <w:rsid w:val="67F3DAF3"/>
    <w:rsid w:val="67FCD919"/>
    <w:rsid w:val="681A6472"/>
    <w:rsid w:val="6839392C"/>
    <w:rsid w:val="684B133F"/>
    <w:rsid w:val="687234C5"/>
    <w:rsid w:val="68836DD8"/>
    <w:rsid w:val="688A6C49"/>
    <w:rsid w:val="68BE1A06"/>
    <w:rsid w:val="69567C66"/>
    <w:rsid w:val="695E051C"/>
    <w:rsid w:val="6A302C92"/>
    <w:rsid w:val="6AD51FE5"/>
    <w:rsid w:val="6B2F9B8D"/>
    <w:rsid w:val="6BDF7C3E"/>
    <w:rsid w:val="6BE64062"/>
    <w:rsid w:val="6BF27653"/>
    <w:rsid w:val="6BFF40BB"/>
    <w:rsid w:val="6C0F4501"/>
    <w:rsid w:val="6C1F76B1"/>
    <w:rsid w:val="6C403E8C"/>
    <w:rsid w:val="6C65649B"/>
    <w:rsid w:val="6C9A2F23"/>
    <w:rsid w:val="6D504314"/>
    <w:rsid w:val="6D6B0D30"/>
    <w:rsid w:val="6DB93322"/>
    <w:rsid w:val="6DB9F287"/>
    <w:rsid w:val="6DBEE704"/>
    <w:rsid w:val="6DCA6E0A"/>
    <w:rsid w:val="6DD2CCDD"/>
    <w:rsid w:val="6E426271"/>
    <w:rsid w:val="6E786B2D"/>
    <w:rsid w:val="6E8135CE"/>
    <w:rsid w:val="6E9FFCFF"/>
    <w:rsid w:val="6EDF147E"/>
    <w:rsid w:val="6EE54C4D"/>
    <w:rsid w:val="6EF441C0"/>
    <w:rsid w:val="6EF8D994"/>
    <w:rsid w:val="6EFC202E"/>
    <w:rsid w:val="6EFFFE6B"/>
    <w:rsid w:val="6F3F0EFE"/>
    <w:rsid w:val="6F66DF0D"/>
    <w:rsid w:val="6F9321B3"/>
    <w:rsid w:val="6F9818AF"/>
    <w:rsid w:val="6FBE377D"/>
    <w:rsid w:val="6FC83D79"/>
    <w:rsid w:val="6FD2346F"/>
    <w:rsid w:val="6FDC33F9"/>
    <w:rsid w:val="6FEFD19D"/>
    <w:rsid w:val="6FF1676A"/>
    <w:rsid w:val="6FF37DB1"/>
    <w:rsid w:val="6FFFB237"/>
    <w:rsid w:val="701C7FE5"/>
    <w:rsid w:val="705E5770"/>
    <w:rsid w:val="709C743C"/>
    <w:rsid w:val="70EF298A"/>
    <w:rsid w:val="7120251E"/>
    <w:rsid w:val="714A06DC"/>
    <w:rsid w:val="71894DB9"/>
    <w:rsid w:val="721876DD"/>
    <w:rsid w:val="72DDA434"/>
    <w:rsid w:val="72E03F0E"/>
    <w:rsid w:val="72EC04E1"/>
    <w:rsid w:val="72FB2114"/>
    <w:rsid w:val="73175147"/>
    <w:rsid w:val="73AFD5E4"/>
    <w:rsid w:val="73BA0A8F"/>
    <w:rsid w:val="73FFF53D"/>
    <w:rsid w:val="7409057E"/>
    <w:rsid w:val="743D52CE"/>
    <w:rsid w:val="745046DC"/>
    <w:rsid w:val="747F6AFA"/>
    <w:rsid w:val="74AD5534"/>
    <w:rsid w:val="74C01A5C"/>
    <w:rsid w:val="74DE93F1"/>
    <w:rsid w:val="7558A49A"/>
    <w:rsid w:val="75A44A37"/>
    <w:rsid w:val="75AA4D22"/>
    <w:rsid w:val="75BB1992"/>
    <w:rsid w:val="75DFFD4B"/>
    <w:rsid w:val="75F72D42"/>
    <w:rsid w:val="75FF160A"/>
    <w:rsid w:val="768513A0"/>
    <w:rsid w:val="768D3764"/>
    <w:rsid w:val="76FF1ECD"/>
    <w:rsid w:val="76FF6D1D"/>
    <w:rsid w:val="77106CCA"/>
    <w:rsid w:val="7777B7AC"/>
    <w:rsid w:val="777F56F7"/>
    <w:rsid w:val="77BB8E3B"/>
    <w:rsid w:val="77BBEC86"/>
    <w:rsid w:val="77D62037"/>
    <w:rsid w:val="77E82965"/>
    <w:rsid w:val="77EDB6EF"/>
    <w:rsid w:val="77F89C22"/>
    <w:rsid w:val="77F93C36"/>
    <w:rsid w:val="77FB2FCE"/>
    <w:rsid w:val="77FEC237"/>
    <w:rsid w:val="77FFDC24"/>
    <w:rsid w:val="7849647E"/>
    <w:rsid w:val="78727C42"/>
    <w:rsid w:val="78736B2C"/>
    <w:rsid w:val="78E1450B"/>
    <w:rsid w:val="796E23E1"/>
    <w:rsid w:val="79751067"/>
    <w:rsid w:val="79925192"/>
    <w:rsid w:val="79B7440E"/>
    <w:rsid w:val="79EC7ADB"/>
    <w:rsid w:val="7A4E2D14"/>
    <w:rsid w:val="7A51077D"/>
    <w:rsid w:val="7ABD5641"/>
    <w:rsid w:val="7ABF920D"/>
    <w:rsid w:val="7AC96BC7"/>
    <w:rsid w:val="7AF7B13D"/>
    <w:rsid w:val="7AFF98E9"/>
    <w:rsid w:val="7B2DA0C3"/>
    <w:rsid w:val="7B5E9AAD"/>
    <w:rsid w:val="7B602ED2"/>
    <w:rsid w:val="7B767BC6"/>
    <w:rsid w:val="7B7D0FEB"/>
    <w:rsid w:val="7B7F87DF"/>
    <w:rsid w:val="7B8B32C5"/>
    <w:rsid w:val="7BC471A3"/>
    <w:rsid w:val="7BC55EAB"/>
    <w:rsid w:val="7BCFA022"/>
    <w:rsid w:val="7BDCA123"/>
    <w:rsid w:val="7BE1D2C9"/>
    <w:rsid w:val="7BE83206"/>
    <w:rsid w:val="7BED0079"/>
    <w:rsid w:val="7BFDFA36"/>
    <w:rsid w:val="7CA218F9"/>
    <w:rsid w:val="7D1BB187"/>
    <w:rsid w:val="7D4D521F"/>
    <w:rsid w:val="7D4F48AC"/>
    <w:rsid w:val="7D4F5FDF"/>
    <w:rsid w:val="7D5F9877"/>
    <w:rsid w:val="7D79ECD1"/>
    <w:rsid w:val="7D7ED033"/>
    <w:rsid w:val="7D9B4E70"/>
    <w:rsid w:val="7DAD3CF1"/>
    <w:rsid w:val="7DC87293"/>
    <w:rsid w:val="7DDD6B54"/>
    <w:rsid w:val="7DE5A8E4"/>
    <w:rsid w:val="7DEF38B0"/>
    <w:rsid w:val="7DFF06BB"/>
    <w:rsid w:val="7DFFB15E"/>
    <w:rsid w:val="7E2D531D"/>
    <w:rsid w:val="7E70004F"/>
    <w:rsid w:val="7E7F3E58"/>
    <w:rsid w:val="7EDF5C83"/>
    <w:rsid w:val="7EEA4100"/>
    <w:rsid w:val="7EF54594"/>
    <w:rsid w:val="7EF9489C"/>
    <w:rsid w:val="7EFF76D7"/>
    <w:rsid w:val="7EFFEBAF"/>
    <w:rsid w:val="7F151DCA"/>
    <w:rsid w:val="7F2630AD"/>
    <w:rsid w:val="7F3F9EDD"/>
    <w:rsid w:val="7F5F73CD"/>
    <w:rsid w:val="7F5FF16C"/>
    <w:rsid w:val="7F7B8043"/>
    <w:rsid w:val="7F7F6767"/>
    <w:rsid w:val="7F966F16"/>
    <w:rsid w:val="7F9D50F9"/>
    <w:rsid w:val="7FA09DD6"/>
    <w:rsid w:val="7FB3FC56"/>
    <w:rsid w:val="7FBF89A0"/>
    <w:rsid w:val="7FC7820D"/>
    <w:rsid w:val="7FD7EAF4"/>
    <w:rsid w:val="7FD7FC5C"/>
    <w:rsid w:val="7FDBCBF5"/>
    <w:rsid w:val="7FDE9281"/>
    <w:rsid w:val="7FDF5069"/>
    <w:rsid w:val="7FDF8512"/>
    <w:rsid w:val="7FDFD86A"/>
    <w:rsid w:val="7FEF1125"/>
    <w:rsid w:val="7FF5A25F"/>
    <w:rsid w:val="7FF71228"/>
    <w:rsid w:val="7FF7B7E3"/>
    <w:rsid w:val="7FF818B5"/>
    <w:rsid w:val="7FFD740D"/>
    <w:rsid w:val="7FFE11F4"/>
    <w:rsid w:val="7FFE398E"/>
    <w:rsid w:val="7FFEC144"/>
    <w:rsid w:val="7FFF8D94"/>
    <w:rsid w:val="8BF7D613"/>
    <w:rsid w:val="92BB2DEF"/>
    <w:rsid w:val="94DEF59F"/>
    <w:rsid w:val="95E56D33"/>
    <w:rsid w:val="97B7B54D"/>
    <w:rsid w:val="97F3ADF9"/>
    <w:rsid w:val="9EAD557B"/>
    <w:rsid w:val="9FDF88C4"/>
    <w:rsid w:val="9FFD8A15"/>
    <w:rsid w:val="9FFFA422"/>
    <w:rsid w:val="A06763BC"/>
    <w:rsid w:val="A3DBD9F5"/>
    <w:rsid w:val="A88B9DEC"/>
    <w:rsid w:val="AB7DC4B2"/>
    <w:rsid w:val="ABFC7477"/>
    <w:rsid w:val="ADEDDF4E"/>
    <w:rsid w:val="AFFF189E"/>
    <w:rsid w:val="B3EDF7B1"/>
    <w:rsid w:val="B3EF49A7"/>
    <w:rsid w:val="B49F9A65"/>
    <w:rsid w:val="B5DF0ECC"/>
    <w:rsid w:val="B5FBF4BA"/>
    <w:rsid w:val="B7146EAB"/>
    <w:rsid w:val="B7AD7050"/>
    <w:rsid w:val="BA9FD6C0"/>
    <w:rsid w:val="BBFB8ACC"/>
    <w:rsid w:val="BCFFA6C1"/>
    <w:rsid w:val="BD7ACEC1"/>
    <w:rsid w:val="BDA60C61"/>
    <w:rsid w:val="BEA5A31C"/>
    <w:rsid w:val="BECAAFCA"/>
    <w:rsid w:val="BEEE4816"/>
    <w:rsid w:val="BF4FB6BA"/>
    <w:rsid w:val="BF5F2DCA"/>
    <w:rsid w:val="BF776BFE"/>
    <w:rsid w:val="BF7FF774"/>
    <w:rsid w:val="BFD93AFA"/>
    <w:rsid w:val="BFEF6ECC"/>
    <w:rsid w:val="BFFBCCCB"/>
    <w:rsid w:val="BFFDC05A"/>
    <w:rsid w:val="C765573C"/>
    <w:rsid w:val="CDB7FDE4"/>
    <w:rsid w:val="CDED891A"/>
    <w:rsid w:val="CE779AE9"/>
    <w:rsid w:val="CF6E716A"/>
    <w:rsid w:val="CFEBFCE5"/>
    <w:rsid w:val="CFFD0BA4"/>
    <w:rsid w:val="D4FF65AC"/>
    <w:rsid w:val="D6BFE7C3"/>
    <w:rsid w:val="D75AB2BA"/>
    <w:rsid w:val="D7BC7F5C"/>
    <w:rsid w:val="D7FBE739"/>
    <w:rsid w:val="D98FE4BD"/>
    <w:rsid w:val="D9A7C637"/>
    <w:rsid w:val="D9FAE1B0"/>
    <w:rsid w:val="D9FBFAFB"/>
    <w:rsid w:val="DA17F656"/>
    <w:rsid w:val="DA4C2473"/>
    <w:rsid w:val="DBEFDBD7"/>
    <w:rsid w:val="DD6FA198"/>
    <w:rsid w:val="DE5F59B8"/>
    <w:rsid w:val="DE62441A"/>
    <w:rsid w:val="DE7F686F"/>
    <w:rsid w:val="DEA605DA"/>
    <w:rsid w:val="DEE3DD40"/>
    <w:rsid w:val="DEF72FC0"/>
    <w:rsid w:val="DEF9BB38"/>
    <w:rsid w:val="DEFF99C9"/>
    <w:rsid w:val="DF3DCD20"/>
    <w:rsid w:val="DF7745D7"/>
    <w:rsid w:val="DFAB0F5E"/>
    <w:rsid w:val="DFF2E981"/>
    <w:rsid w:val="DFFD21F2"/>
    <w:rsid w:val="DFFF53A7"/>
    <w:rsid w:val="DFFF80CC"/>
    <w:rsid w:val="DFFFB580"/>
    <w:rsid w:val="E1DD3394"/>
    <w:rsid w:val="E6BC93BD"/>
    <w:rsid w:val="E77E3E1E"/>
    <w:rsid w:val="E7B7ECAD"/>
    <w:rsid w:val="E7DF993A"/>
    <w:rsid w:val="E7EC78BB"/>
    <w:rsid w:val="E7F6376A"/>
    <w:rsid w:val="E87B7C79"/>
    <w:rsid w:val="EBA69C78"/>
    <w:rsid w:val="EDEFB826"/>
    <w:rsid w:val="EDF8EB09"/>
    <w:rsid w:val="EE0DD6DD"/>
    <w:rsid w:val="EE6E0D52"/>
    <w:rsid w:val="EEDC707F"/>
    <w:rsid w:val="EEEFD692"/>
    <w:rsid w:val="EEFB391A"/>
    <w:rsid w:val="EF521092"/>
    <w:rsid w:val="EF532BFC"/>
    <w:rsid w:val="EF5F5E71"/>
    <w:rsid w:val="EFCA0AC7"/>
    <w:rsid w:val="EFDD1525"/>
    <w:rsid w:val="EFEB6E2E"/>
    <w:rsid w:val="EFEDFBC3"/>
    <w:rsid w:val="EFFE4615"/>
    <w:rsid w:val="F0FB1A77"/>
    <w:rsid w:val="F27FEF54"/>
    <w:rsid w:val="F2CD62C5"/>
    <w:rsid w:val="F3BF89DE"/>
    <w:rsid w:val="F3E90EB4"/>
    <w:rsid w:val="F3FFBF49"/>
    <w:rsid w:val="F4CB3AA9"/>
    <w:rsid w:val="F5E3E6C6"/>
    <w:rsid w:val="F5EDC312"/>
    <w:rsid w:val="F5FE5AF6"/>
    <w:rsid w:val="F6B7298B"/>
    <w:rsid w:val="F7B7E2BC"/>
    <w:rsid w:val="F7DB08DD"/>
    <w:rsid w:val="F7EB0ACB"/>
    <w:rsid w:val="F7EB1979"/>
    <w:rsid w:val="F7EDE4A4"/>
    <w:rsid w:val="F8FDAF2F"/>
    <w:rsid w:val="F9BDE3F8"/>
    <w:rsid w:val="F9EF92C3"/>
    <w:rsid w:val="F9FD88BE"/>
    <w:rsid w:val="FA7BBFD1"/>
    <w:rsid w:val="FABED47C"/>
    <w:rsid w:val="FB5DD02C"/>
    <w:rsid w:val="FB67D3CB"/>
    <w:rsid w:val="FB6A6686"/>
    <w:rsid w:val="FB6B621A"/>
    <w:rsid w:val="FB772341"/>
    <w:rsid w:val="FB7D65D2"/>
    <w:rsid w:val="FB9AC3EB"/>
    <w:rsid w:val="FBD7F72A"/>
    <w:rsid w:val="FBEF155D"/>
    <w:rsid w:val="FBFE2F8D"/>
    <w:rsid w:val="FBFEAA81"/>
    <w:rsid w:val="FCEB10E5"/>
    <w:rsid w:val="FD67A5B3"/>
    <w:rsid w:val="FD7FD039"/>
    <w:rsid w:val="FDBD1917"/>
    <w:rsid w:val="FDEB3C85"/>
    <w:rsid w:val="FDF787EB"/>
    <w:rsid w:val="FDFC20E5"/>
    <w:rsid w:val="FDFDB819"/>
    <w:rsid w:val="FE6227C5"/>
    <w:rsid w:val="FE671E7D"/>
    <w:rsid w:val="FE675D12"/>
    <w:rsid w:val="FE77092F"/>
    <w:rsid w:val="FE978D02"/>
    <w:rsid w:val="FEBD6EDF"/>
    <w:rsid w:val="FECD22D7"/>
    <w:rsid w:val="FEDE78E1"/>
    <w:rsid w:val="FEDE7E84"/>
    <w:rsid w:val="FEE1AA44"/>
    <w:rsid w:val="FEE7ABCB"/>
    <w:rsid w:val="FEEC487F"/>
    <w:rsid w:val="FEEF5C9E"/>
    <w:rsid w:val="FF7792D1"/>
    <w:rsid w:val="FF7D0524"/>
    <w:rsid w:val="FFA298AF"/>
    <w:rsid w:val="FFAB0F02"/>
    <w:rsid w:val="FFAE1732"/>
    <w:rsid w:val="FFB78DC9"/>
    <w:rsid w:val="FFD31B9D"/>
    <w:rsid w:val="FFDFA1E9"/>
    <w:rsid w:val="FFDFD9F7"/>
    <w:rsid w:val="FFDFF37D"/>
    <w:rsid w:val="FFEF3909"/>
    <w:rsid w:val="FFF97C05"/>
    <w:rsid w:val="FFFDBDFD"/>
    <w:rsid w:val="FFFF03E0"/>
    <w:rsid w:val="FFFF115A"/>
    <w:rsid w:val="FFFFDC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0"/>
    <w:qFormat/>
    <w:uiPriority w:val="0"/>
    <w:pPr>
      <w:keepNext/>
      <w:keepLines/>
      <w:spacing w:before="340" w:after="330" w:line="576" w:lineRule="auto"/>
      <w:outlineLvl w:val="0"/>
    </w:pPr>
    <w:rPr>
      <w:b/>
      <w:kern w:val="44"/>
      <w:sz w:val="44"/>
    </w:rPr>
  </w:style>
  <w:style w:type="paragraph" w:styleId="4">
    <w:name w:val="heading 2"/>
    <w:basedOn w:val="1"/>
    <w:next w:val="1"/>
    <w:link w:val="31"/>
    <w:unhideWhenUsed/>
    <w:qFormat/>
    <w:uiPriority w:val="0"/>
    <w:pPr>
      <w:keepNext/>
      <w:keepLines/>
      <w:spacing w:line="413" w:lineRule="auto"/>
      <w:outlineLvl w:val="1"/>
    </w:pPr>
    <w:rPr>
      <w:rFonts w:ascii="Arial" w:hAnsi="Arial" w:eastAsia="黑体"/>
      <w:b/>
      <w:sz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6">
    <w:name w:val="Document Map"/>
    <w:basedOn w:val="1"/>
    <w:link w:val="32"/>
    <w:qFormat/>
    <w:uiPriority w:val="99"/>
    <w:rPr>
      <w:rFonts w:ascii="宋体"/>
      <w:sz w:val="18"/>
      <w:szCs w:val="18"/>
    </w:rPr>
  </w:style>
  <w:style w:type="paragraph" w:styleId="7">
    <w:name w:val="annotation text"/>
    <w:basedOn w:val="1"/>
    <w:link w:val="33"/>
    <w:qFormat/>
    <w:uiPriority w:val="99"/>
    <w:pPr>
      <w:jc w:val="left"/>
    </w:pPr>
  </w:style>
  <w:style w:type="paragraph" w:styleId="8">
    <w:name w:val="Plain Text"/>
    <w:basedOn w:val="1"/>
    <w:next w:val="1"/>
    <w:link w:val="34"/>
    <w:unhideWhenUsed/>
    <w:qFormat/>
    <w:uiPriority w:val="99"/>
    <w:rPr>
      <w:rFonts w:hint="eastAsia" w:ascii="宋体" w:hAnsi="宋体"/>
      <w:kern w:val="0"/>
      <w:szCs w:val="21"/>
    </w:rPr>
  </w:style>
  <w:style w:type="paragraph" w:styleId="9">
    <w:name w:val="Balloon Text"/>
    <w:basedOn w:val="1"/>
    <w:link w:val="35"/>
    <w:qFormat/>
    <w:uiPriority w:val="99"/>
    <w:rPr>
      <w:sz w:val="18"/>
      <w:szCs w:val="18"/>
    </w:rPr>
  </w:style>
  <w:style w:type="paragraph" w:styleId="10">
    <w:name w:val="footer"/>
    <w:basedOn w:val="1"/>
    <w:link w:val="36"/>
    <w:unhideWhenUsed/>
    <w:qFormat/>
    <w:uiPriority w:val="99"/>
    <w:pPr>
      <w:tabs>
        <w:tab w:val="center" w:pos="4153"/>
        <w:tab w:val="right" w:pos="8306"/>
      </w:tabs>
      <w:snapToGrid w:val="0"/>
      <w:jc w:val="left"/>
    </w:pPr>
    <w:rPr>
      <w:sz w:val="18"/>
      <w:szCs w:val="18"/>
    </w:rPr>
  </w:style>
  <w:style w:type="paragraph" w:styleId="11">
    <w:name w:val="header"/>
    <w:basedOn w:val="1"/>
    <w:link w:val="3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style>
  <w:style w:type="paragraph" w:styleId="13">
    <w:name w:val="Body Text Indent 3"/>
    <w:basedOn w:val="1"/>
    <w:link w:val="38"/>
    <w:qFormat/>
    <w:uiPriority w:val="99"/>
    <w:pPr>
      <w:ind w:firstLine="252"/>
    </w:p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7">
    <w:name w:val="Table Grid"/>
    <w:basedOn w:val="1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FollowedHyperlink"/>
    <w:basedOn w:val="18"/>
    <w:unhideWhenUsed/>
    <w:qFormat/>
    <w:uiPriority w:val="99"/>
    <w:rPr>
      <w:color w:val="954F72"/>
      <w:u w:val="single"/>
    </w:rPr>
  </w:style>
  <w:style w:type="character" w:styleId="21">
    <w:name w:val="Emphasis"/>
    <w:basedOn w:val="18"/>
    <w:qFormat/>
    <w:uiPriority w:val="0"/>
  </w:style>
  <w:style w:type="character" w:styleId="22">
    <w:name w:val="HTML Definition"/>
    <w:basedOn w:val="18"/>
    <w:semiHidden/>
    <w:unhideWhenUsed/>
    <w:qFormat/>
    <w:uiPriority w:val="0"/>
    <w:rPr>
      <w:color w:val="338DE6"/>
      <w:u w:val="none"/>
    </w:rPr>
  </w:style>
  <w:style w:type="character" w:styleId="23">
    <w:name w:val="HTML Variable"/>
    <w:basedOn w:val="18"/>
    <w:semiHidden/>
    <w:unhideWhenUsed/>
    <w:qFormat/>
    <w:uiPriority w:val="0"/>
  </w:style>
  <w:style w:type="character" w:styleId="24">
    <w:name w:val="Hyperlink"/>
    <w:basedOn w:val="18"/>
    <w:unhideWhenUsed/>
    <w:qFormat/>
    <w:uiPriority w:val="99"/>
    <w:rPr>
      <w:color w:val="0563C1"/>
      <w:u w:val="single"/>
    </w:rPr>
  </w:style>
  <w:style w:type="character" w:styleId="25">
    <w:name w:val="HTML Code"/>
    <w:basedOn w:val="18"/>
    <w:semiHidden/>
    <w:unhideWhenUsed/>
    <w:qFormat/>
    <w:uiPriority w:val="0"/>
    <w:rPr>
      <w:rFonts w:ascii="font-extend" w:hAnsi="font-extend" w:eastAsia="font-extend" w:cs="font-extend"/>
      <w:sz w:val="21"/>
      <w:szCs w:val="21"/>
    </w:rPr>
  </w:style>
  <w:style w:type="character" w:styleId="26">
    <w:name w:val="HTML Cite"/>
    <w:basedOn w:val="18"/>
    <w:semiHidden/>
    <w:unhideWhenUsed/>
    <w:qFormat/>
    <w:uiPriority w:val="0"/>
  </w:style>
  <w:style w:type="character" w:styleId="27">
    <w:name w:val="HTML Keyboard"/>
    <w:basedOn w:val="18"/>
    <w:semiHidden/>
    <w:unhideWhenUsed/>
    <w:qFormat/>
    <w:uiPriority w:val="0"/>
    <w:rPr>
      <w:rFonts w:hint="default" w:ascii="font-extend" w:hAnsi="font-extend" w:eastAsia="font-extend" w:cs="font-extend"/>
      <w:sz w:val="21"/>
      <w:szCs w:val="21"/>
    </w:rPr>
  </w:style>
  <w:style w:type="character" w:styleId="28">
    <w:name w:val="HTML Sample"/>
    <w:basedOn w:val="18"/>
    <w:semiHidden/>
    <w:unhideWhenUsed/>
    <w:qFormat/>
    <w:uiPriority w:val="0"/>
    <w:rPr>
      <w:rFonts w:hint="default" w:ascii="font-extend" w:hAnsi="font-extend" w:eastAsia="font-extend" w:cs="font-extend"/>
      <w:sz w:val="21"/>
      <w:szCs w:val="21"/>
    </w:rPr>
  </w:style>
  <w:style w:type="paragraph" w:customStyle="1" w:styleId="29">
    <w:name w:val="正文-公1"/>
    <w:basedOn w:val="1"/>
    <w:next w:val="1"/>
    <w:qFormat/>
    <w:uiPriority w:val="99"/>
    <w:pPr>
      <w:ind w:firstLine="200" w:firstLineChars="200"/>
      <w:jc w:val="left"/>
    </w:pPr>
    <w:rPr>
      <w:rFonts w:eastAsia="仿宋_GB2312"/>
    </w:rPr>
  </w:style>
  <w:style w:type="character" w:customStyle="1" w:styleId="30">
    <w:name w:val="标题 1 Char"/>
    <w:basedOn w:val="18"/>
    <w:link w:val="3"/>
    <w:qFormat/>
    <w:uiPriority w:val="0"/>
    <w:rPr>
      <w:rFonts w:ascii="Calibri" w:hAnsi="Calibri"/>
      <w:b/>
      <w:kern w:val="44"/>
      <w:sz w:val="44"/>
      <w:szCs w:val="22"/>
    </w:rPr>
  </w:style>
  <w:style w:type="character" w:customStyle="1" w:styleId="31">
    <w:name w:val="标题 2 Char"/>
    <w:basedOn w:val="18"/>
    <w:link w:val="4"/>
    <w:qFormat/>
    <w:uiPriority w:val="0"/>
    <w:rPr>
      <w:rFonts w:ascii="Arial" w:hAnsi="Arial" w:eastAsia="黑体"/>
      <w:b/>
      <w:kern w:val="2"/>
      <w:sz w:val="32"/>
      <w:szCs w:val="22"/>
    </w:rPr>
  </w:style>
  <w:style w:type="character" w:customStyle="1" w:styleId="32">
    <w:name w:val="文档结构图 Char"/>
    <w:basedOn w:val="18"/>
    <w:link w:val="6"/>
    <w:qFormat/>
    <w:uiPriority w:val="99"/>
    <w:rPr>
      <w:rFonts w:ascii="宋体" w:hAnsi="Calibri" w:eastAsia="宋体"/>
      <w:kern w:val="2"/>
      <w:sz w:val="18"/>
      <w:szCs w:val="18"/>
    </w:rPr>
  </w:style>
  <w:style w:type="character" w:customStyle="1" w:styleId="33">
    <w:name w:val="批注文字 Char"/>
    <w:basedOn w:val="18"/>
    <w:link w:val="7"/>
    <w:qFormat/>
    <w:uiPriority w:val="99"/>
    <w:rPr>
      <w:rFonts w:ascii="Calibri" w:hAnsi="Calibri"/>
      <w:kern w:val="2"/>
      <w:sz w:val="21"/>
      <w:szCs w:val="22"/>
    </w:rPr>
  </w:style>
  <w:style w:type="character" w:customStyle="1" w:styleId="34">
    <w:name w:val="纯文本 Char"/>
    <w:basedOn w:val="18"/>
    <w:link w:val="8"/>
    <w:qFormat/>
    <w:uiPriority w:val="99"/>
    <w:rPr>
      <w:rFonts w:ascii="宋体" w:hAnsi="宋体"/>
      <w:sz w:val="21"/>
      <w:szCs w:val="21"/>
    </w:rPr>
  </w:style>
  <w:style w:type="character" w:customStyle="1" w:styleId="35">
    <w:name w:val="批注框文本 Char"/>
    <w:basedOn w:val="18"/>
    <w:link w:val="9"/>
    <w:qFormat/>
    <w:uiPriority w:val="99"/>
    <w:rPr>
      <w:rFonts w:ascii="Calibri" w:hAnsi="Calibri"/>
      <w:kern w:val="2"/>
      <w:sz w:val="18"/>
      <w:szCs w:val="18"/>
    </w:rPr>
  </w:style>
  <w:style w:type="character" w:customStyle="1" w:styleId="36">
    <w:name w:val="页脚 Char"/>
    <w:basedOn w:val="18"/>
    <w:link w:val="10"/>
    <w:qFormat/>
    <w:uiPriority w:val="99"/>
    <w:rPr>
      <w:rFonts w:ascii="Calibri" w:hAnsi="Calibri"/>
      <w:kern w:val="2"/>
      <w:sz w:val="18"/>
      <w:szCs w:val="18"/>
    </w:rPr>
  </w:style>
  <w:style w:type="character" w:customStyle="1" w:styleId="37">
    <w:name w:val="页眉 Char"/>
    <w:basedOn w:val="18"/>
    <w:link w:val="11"/>
    <w:qFormat/>
    <w:uiPriority w:val="99"/>
    <w:rPr>
      <w:rFonts w:ascii="Calibri" w:hAnsi="Calibri"/>
      <w:kern w:val="2"/>
      <w:sz w:val="18"/>
      <w:szCs w:val="22"/>
    </w:rPr>
  </w:style>
  <w:style w:type="character" w:customStyle="1" w:styleId="38">
    <w:name w:val="正文文本缩进 3 Char"/>
    <w:basedOn w:val="18"/>
    <w:link w:val="13"/>
    <w:qFormat/>
    <w:uiPriority w:val="99"/>
    <w:rPr>
      <w:rFonts w:ascii="Calibri" w:hAnsi="Calibri"/>
      <w:kern w:val="2"/>
      <w:sz w:val="21"/>
      <w:szCs w:val="22"/>
    </w:rPr>
  </w:style>
  <w:style w:type="character" w:customStyle="1" w:styleId="39">
    <w:name w:val="font51"/>
    <w:basedOn w:val="18"/>
    <w:qFormat/>
    <w:uiPriority w:val="0"/>
    <w:rPr>
      <w:rFonts w:hint="eastAsia" w:ascii="仿宋_GB2312" w:eastAsia="仿宋_GB2312" w:cs="仿宋_GB2312"/>
      <w:b/>
      <w:color w:val="000000"/>
      <w:sz w:val="20"/>
      <w:szCs w:val="20"/>
      <w:u w:val="none"/>
    </w:rPr>
  </w:style>
  <w:style w:type="character" w:customStyle="1" w:styleId="40">
    <w:name w:val="font11"/>
    <w:basedOn w:val="18"/>
    <w:qFormat/>
    <w:uiPriority w:val="0"/>
    <w:rPr>
      <w:rFonts w:hint="eastAsia" w:ascii="仿宋_GB2312" w:eastAsia="仿宋_GB2312" w:cs="仿宋_GB2312"/>
      <w:color w:val="000000"/>
      <w:sz w:val="20"/>
      <w:szCs w:val="20"/>
      <w:u w:val="none"/>
    </w:rPr>
  </w:style>
  <w:style w:type="character" w:customStyle="1" w:styleId="41">
    <w:name w:val="font61"/>
    <w:basedOn w:val="18"/>
    <w:qFormat/>
    <w:uiPriority w:val="0"/>
    <w:rPr>
      <w:rFonts w:hint="eastAsia" w:ascii="仿宋_GB2312" w:eastAsia="仿宋_GB2312" w:cs="仿宋_GB2312"/>
      <w:b/>
      <w:color w:val="000000"/>
      <w:sz w:val="21"/>
      <w:szCs w:val="21"/>
      <w:u w:val="none"/>
    </w:rPr>
  </w:style>
  <w:style w:type="character" w:customStyle="1" w:styleId="42">
    <w:name w:val="font81"/>
    <w:basedOn w:val="18"/>
    <w:qFormat/>
    <w:uiPriority w:val="0"/>
    <w:rPr>
      <w:rFonts w:hint="eastAsia" w:ascii="仿宋_GB2312" w:eastAsia="仿宋_GB2312" w:cs="仿宋_GB2312"/>
      <w:color w:val="000000"/>
      <w:sz w:val="21"/>
      <w:szCs w:val="21"/>
      <w:u w:val="none"/>
    </w:rPr>
  </w:style>
  <w:style w:type="character" w:customStyle="1" w:styleId="43">
    <w:name w:val="font71"/>
    <w:basedOn w:val="18"/>
    <w:qFormat/>
    <w:uiPriority w:val="0"/>
    <w:rPr>
      <w:rFonts w:hint="eastAsia" w:ascii="仿宋_GB2312" w:eastAsia="仿宋_GB2312" w:cs="仿宋_GB2312"/>
      <w:color w:val="000000"/>
      <w:sz w:val="18"/>
      <w:szCs w:val="18"/>
      <w:u w:val="none"/>
    </w:rPr>
  </w:style>
  <w:style w:type="character" w:customStyle="1" w:styleId="44">
    <w:name w:val="font21"/>
    <w:basedOn w:val="18"/>
    <w:qFormat/>
    <w:uiPriority w:val="0"/>
    <w:rPr>
      <w:rFonts w:hint="default" w:ascii="Times New Roman" w:hAnsi="Times New Roman" w:cs="Times New Roman"/>
      <w:color w:val="000000"/>
      <w:sz w:val="18"/>
      <w:szCs w:val="18"/>
      <w:u w:val="none"/>
    </w:rPr>
  </w:style>
  <w:style w:type="character" w:customStyle="1" w:styleId="45">
    <w:name w:val="font101"/>
    <w:basedOn w:val="18"/>
    <w:qFormat/>
    <w:uiPriority w:val="0"/>
    <w:rPr>
      <w:rFonts w:hint="eastAsia" w:ascii="仿宋_GB2312" w:eastAsia="仿宋_GB2312" w:cs="仿宋_GB2312"/>
      <w:color w:val="000000"/>
      <w:sz w:val="18"/>
      <w:szCs w:val="18"/>
      <w:u w:val="none"/>
    </w:rPr>
  </w:style>
  <w:style w:type="paragraph" w:customStyle="1" w:styleId="46">
    <w:name w:val="WPSOffice手动目录 1"/>
    <w:qFormat/>
    <w:uiPriority w:val="99"/>
    <w:rPr>
      <w:rFonts w:ascii="Times New Roman" w:hAnsi="Times New Roman" w:eastAsia="宋体" w:cs="Times New Roman"/>
      <w:lang w:val="en-US" w:eastAsia="zh-CN" w:bidi="ar-SA"/>
    </w:rPr>
  </w:style>
  <w:style w:type="character" w:customStyle="1" w:styleId="47">
    <w:name w:val="font01"/>
    <w:basedOn w:val="18"/>
    <w:qFormat/>
    <w:uiPriority w:val="0"/>
    <w:rPr>
      <w:rFonts w:ascii="Arial" w:hAnsi="Arial" w:cs="Arial"/>
      <w:color w:val="000000"/>
      <w:sz w:val="20"/>
      <w:szCs w:val="20"/>
      <w:u w:val="none"/>
    </w:rPr>
  </w:style>
  <w:style w:type="character" w:customStyle="1" w:styleId="48">
    <w:name w:val="font112"/>
    <w:basedOn w:val="18"/>
    <w:qFormat/>
    <w:uiPriority w:val="0"/>
    <w:rPr>
      <w:rFonts w:hint="eastAsia" w:ascii="仿宋_GB2312" w:eastAsia="仿宋_GB2312" w:cs="仿宋_GB2312"/>
      <w:color w:val="000000"/>
      <w:sz w:val="20"/>
      <w:szCs w:val="20"/>
      <w:u w:val="none"/>
    </w:rPr>
  </w:style>
  <w:style w:type="character" w:customStyle="1" w:styleId="49">
    <w:name w:val="font121"/>
    <w:basedOn w:val="18"/>
    <w:qFormat/>
    <w:uiPriority w:val="0"/>
    <w:rPr>
      <w:rFonts w:hint="eastAsia" w:ascii="仿宋_GB2312" w:eastAsia="仿宋_GB2312" w:cs="仿宋_GB2312"/>
      <w:color w:val="000000"/>
      <w:sz w:val="20"/>
      <w:szCs w:val="20"/>
      <w:u w:val="none"/>
    </w:rPr>
  </w:style>
  <w:style w:type="character" w:customStyle="1" w:styleId="50">
    <w:name w:val="sect2title1"/>
    <w:basedOn w:val="18"/>
    <w:qFormat/>
    <w:uiPriority w:val="0"/>
    <w:rPr>
      <w:rFonts w:hint="eastAsia" w:ascii="微软雅黑" w:hAnsi="微软雅黑" w:eastAsia="微软雅黑"/>
      <w:b/>
      <w:bCs/>
      <w:sz w:val="21"/>
      <w:szCs w:val="21"/>
    </w:rPr>
  </w:style>
  <w:style w:type="paragraph" w:customStyle="1" w:styleId="51">
    <w:name w:val="修订1"/>
    <w:hidden/>
    <w:unhideWhenUsed/>
    <w:qFormat/>
    <w:uiPriority w:val="99"/>
    <w:rPr>
      <w:rFonts w:ascii="Calibri" w:hAnsi="Calibri" w:eastAsia="宋体" w:cs="Times New Roman"/>
      <w:kern w:val="2"/>
      <w:sz w:val="21"/>
      <w:szCs w:val="22"/>
      <w:lang w:val="en-US" w:eastAsia="zh-CN" w:bidi="ar-SA"/>
    </w:rPr>
  </w:style>
  <w:style w:type="paragraph" w:customStyle="1" w:styleId="52">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styleId="53">
    <w:name w:val="List Paragraph"/>
    <w:basedOn w:val="1"/>
    <w:qFormat/>
    <w:uiPriority w:val="99"/>
    <w:pPr>
      <w:ind w:firstLine="420" w:firstLineChars="200"/>
    </w:pPr>
  </w:style>
  <w:style w:type="paragraph" w:customStyle="1" w:styleId="54">
    <w:name w:val="公文主体"/>
    <w:basedOn w:val="1"/>
    <w:qFormat/>
    <w:uiPriority w:val="0"/>
    <w:pPr>
      <w:spacing w:line="580" w:lineRule="exact"/>
      <w:ind w:firstLine="200" w:firstLineChars="200"/>
    </w:pPr>
    <w:rPr>
      <w:rFonts w:eastAsia="仿宋_GB2312"/>
      <w:sz w:val="32"/>
    </w:rPr>
  </w:style>
  <w:style w:type="character" w:customStyle="1" w:styleId="55">
    <w:name w:val="two-lines"/>
    <w:basedOn w:val="18"/>
    <w:qFormat/>
    <w:uiPriority w:val="0"/>
  </w:style>
  <w:style w:type="character" w:customStyle="1" w:styleId="56">
    <w:name w:val="one-lines"/>
    <w:basedOn w:val="18"/>
    <w:qFormat/>
    <w:uiPriority w:val="0"/>
  </w:style>
  <w:style w:type="character" w:customStyle="1" w:styleId="57">
    <w:name w:val="hidden"/>
    <w:basedOn w:val="18"/>
    <w:qFormat/>
    <w:uiPriority w:val="0"/>
    <w:rPr>
      <w:vanish/>
    </w:rPr>
  </w:style>
  <w:style w:type="character" w:customStyle="1" w:styleId="58">
    <w:name w:val="trumbowyg-msg-error"/>
    <w:basedOn w:val="18"/>
    <w:qFormat/>
    <w:uiPriority w:val="0"/>
    <w:rPr>
      <w:color w:val="E74C3C"/>
    </w:rPr>
  </w:style>
  <w:style w:type="character" w:customStyle="1" w:styleId="59">
    <w:name w:val="trumbowyg-msg-error1"/>
    <w:basedOn w:val="18"/>
    <w:qFormat/>
    <w:uiPriority w:val="0"/>
    <w:rPr>
      <w:color w:val="E74C3C"/>
    </w:rPr>
  </w:style>
  <w:style w:type="character" w:customStyle="1" w:styleId="60">
    <w:name w:val="nth-child(1)"/>
    <w:basedOn w:val="18"/>
    <w:qFormat/>
    <w:uiPriority w:val="0"/>
  </w:style>
  <w:style w:type="character" w:customStyle="1" w:styleId="61">
    <w:name w:val="nth-child(1)1"/>
    <w:basedOn w:val="18"/>
    <w:qFormat/>
    <w:uiPriority w:val="0"/>
  </w:style>
  <w:style w:type="paragraph" w:customStyle="1" w:styleId="62">
    <w:name w:val="section"/>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281</Pages>
  <Words>346209</Words>
  <Characters>356809</Characters>
  <Lines>3194</Lines>
  <Paragraphs>899</Paragraphs>
  <TotalTime>74</TotalTime>
  <ScaleCrop>false</ScaleCrop>
  <LinksUpToDate>false</LinksUpToDate>
  <CharactersWithSpaces>360874</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2023-02-16T22:04:00Z</dcterms:created>
  <dc:creator>Emily</dc:creator>
  <cp:lastModifiedBy>user</cp:lastModifiedBy>
  <cp:lastPrinted>2023-08-16T15:35:00Z</cp:lastPrinted>
  <dcterms:modified xsi:type="dcterms:W3CDTF">2024-06-12T11:42:47Z</dcterms:modified>
  <dc:title>附件3</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1C5BC20211384EDF80AC3A90E25FA971_13</vt:lpwstr>
  </property>
</Properties>
</file>